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D1C" w:rsidRPr="004F3D1C" w:rsidRDefault="004F3D1C" w:rsidP="004F3D1C">
      <w:pPr>
        <w:spacing w:after="0"/>
        <w:jc w:val="center"/>
        <w:rPr>
          <w:color w:val="538135" w:themeColor="accent6" w:themeShade="BF"/>
          <w:sz w:val="48"/>
          <w:szCs w:val="48"/>
          <w:lang w:val="en-GB"/>
        </w:rPr>
      </w:pPr>
      <w:bookmarkStart w:id="0" w:name="_Toc45273886"/>
      <w:r w:rsidRPr="004F3D1C">
        <w:rPr>
          <w:color w:val="538135" w:themeColor="accent6" w:themeShade="BF"/>
          <w:sz w:val="48"/>
          <w:szCs w:val="48"/>
          <w:lang w:val="en-GB"/>
        </w:rPr>
        <w:t>HDT Completion Guidelines</w:t>
      </w:r>
    </w:p>
    <w:p w:rsidR="004F3D1C" w:rsidRPr="00A14C50" w:rsidRDefault="004F3D1C" w:rsidP="004F3D1C">
      <w:pPr>
        <w:pBdr>
          <w:bottom w:val="single" w:sz="12" w:space="1" w:color="auto"/>
        </w:pBdr>
        <w:spacing w:after="0" w:line="288" w:lineRule="auto"/>
        <w:jc w:val="center"/>
        <w:rPr>
          <w:rFonts w:ascii="Verdana" w:hAnsi="Verdana"/>
          <w:b/>
          <w:color w:val="E27725"/>
          <w:sz w:val="28"/>
          <w:szCs w:val="28"/>
          <w:lang w:val="en-GB"/>
        </w:rPr>
      </w:pPr>
    </w:p>
    <w:p w:rsidR="004F3D1C" w:rsidRDefault="004F3D1C" w:rsidP="009A76A4">
      <w:pPr>
        <w:pStyle w:val="Heading1"/>
        <w:rPr>
          <w:lang w:val="en-GB"/>
        </w:rPr>
      </w:pPr>
    </w:p>
    <w:sdt>
      <w:sdtPr>
        <w:id w:val="-1110347203"/>
        <w:docPartObj>
          <w:docPartGallery w:val="Table of Contents"/>
          <w:docPartUnique/>
        </w:docPartObj>
      </w:sdtPr>
      <w:sdtEndPr>
        <w:rPr>
          <w:rFonts w:ascii="Calibri" w:eastAsia="Calibri" w:hAnsi="Calibri" w:cs="Times New Roman"/>
          <w:b/>
          <w:bCs/>
          <w:noProof/>
          <w:color w:val="auto"/>
          <w:sz w:val="22"/>
          <w:szCs w:val="22"/>
          <w:lang w:val="fr-BE"/>
        </w:rPr>
      </w:sdtEndPr>
      <w:sdtContent>
        <w:p w:rsidR="004F3D1C" w:rsidRDefault="004F3D1C">
          <w:pPr>
            <w:pStyle w:val="TOCHeading"/>
          </w:pPr>
          <w:r>
            <w:t>Contents</w:t>
          </w:r>
        </w:p>
        <w:p w:rsidR="004F3D1C" w:rsidRDefault="004F3D1C">
          <w:pPr>
            <w:pStyle w:val="TOC1"/>
            <w:tabs>
              <w:tab w:val="right" w:leader="dot" w:pos="9016"/>
            </w:tabs>
            <w:rPr>
              <w:rFonts w:asciiTheme="minorHAnsi" w:eastAsiaTheme="minorEastAsia" w:hAnsiTheme="minorHAnsi" w:cstheme="minorBidi"/>
              <w:noProof/>
              <w:lang w:val="nl-BE" w:eastAsia="nl-BE"/>
            </w:rPr>
          </w:pPr>
          <w:r>
            <w:fldChar w:fldCharType="begin"/>
          </w:r>
          <w:r>
            <w:instrText xml:space="preserve"> TOC \o "1-3" \h \z \u </w:instrText>
          </w:r>
          <w:r>
            <w:fldChar w:fldCharType="separate"/>
          </w:r>
          <w:hyperlink w:anchor="_Toc57805965" w:history="1">
            <w:r w:rsidRPr="0035635B">
              <w:rPr>
                <w:rStyle w:val="Hyperlink"/>
                <w:noProof/>
                <w:lang w:val="en-GB"/>
              </w:rPr>
              <w:t>Purpose</w:t>
            </w:r>
            <w:r>
              <w:rPr>
                <w:noProof/>
                <w:webHidden/>
              </w:rPr>
              <w:tab/>
            </w:r>
            <w:r>
              <w:rPr>
                <w:noProof/>
                <w:webHidden/>
              </w:rPr>
              <w:fldChar w:fldCharType="begin"/>
            </w:r>
            <w:r>
              <w:rPr>
                <w:noProof/>
                <w:webHidden/>
              </w:rPr>
              <w:instrText xml:space="preserve"> PAGEREF _Toc57805965 \h </w:instrText>
            </w:r>
            <w:r>
              <w:rPr>
                <w:noProof/>
                <w:webHidden/>
              </w:rPr>
            </w:r>
            <w:r>
              <w:rPr>
                <w:noProof/>
                <w:webHidden/>
              </w:rPr>
              <w:fldChar w:fldCharType="separate"/>
            </w:r>
            <w:r>
              <w:rPr>
                <w:noProof/>
                <w:webHidden/>
              </w:rPr>
              <w:t>2</w:t>
            </w:r>
            <w:r>
              <w:rPr>
                <w:noProof/>
                <w:webHidden/>
              </w:rPr>
              <w:fldChar w:fldCharType="end"/>
            </w:r>
          </w:hyperlink>
        </w:p>
        <w:p w:rsidR="004F3D1C" w:rsidRDefault="004F3D1C">
          <w:pPr>
            <w:pStyle w:val="TOC1"/>
            <w:tabs>
              <w:tab w:val="right" w:leader="dot" w:pos="9016"/>
            </w:tabs>
            <w:rPr>
              <w:rFonts w:asciiTheme="minorHAnsi" w:eastAsiaTheme="minorEastAsia" w:hAnsiTheme="minorHAnsi" w:cstheme="minorBidi"/>
              <w:noProof/>
              <w:lang w:val="nl-BE" w:eastAsia="nl-BE"/>
            </w:rPr>
          </w:pPr>
          <w:hyperlink w:anchor="_Toc57805966" w:history="1">
            <w:r w:rsidRPr="0035635B">
              <w:rPr>
                <w:rStyle w:val="Hyperlink"/>
                <w:noProof/>
                <w:lang w:val="en-GB"/>
              </w:rPr>
              <w:t>General guidelines</w:t>
            </w:r>
            <w:r>
              <w:rPr>
                <w:noProof/>
                <w:webHidden/>
              </w:rPr>
              <w:tab/>
            </w:r>
            <w:r>
              <w:rPr>
                <w:noProof/>
                <w:webHidden/>
              </w:rPr>
              <w:fldChar w:fldCharType="begin"/>
            </w:r>
            <w:r>
              <w:rPr>
                <w:noProof/>
                <w:webHidden/>
              </w:rPr>
              <w:instrText xml:space="preserve"> PAGEREF _Toc57805966 \h </w:instrText>
            </w:r>
            <w:r>
              <w:rPr>
                <w:noProof/>
                <w:webHidden/>
              </w:rPr>
            </w:r>
            <w:r>
              <w:rPr>
                <w:noProof/>
                <w:webHidden/>
              </w:rPr>
              <w:fldChar w:fldCharType="separate"/>
            </w:r>
            <w:r>
              <w:rPr>
                <w:noProof/>
                <w:webHidden/>
              </w:rPr>
              <w:t>2</w:t>
            </w:r>
            <w:r>
              <w:rPr>
                <w:noProof/>
                <w:webHidden/>
              </w:rPr>
              <w:fldChar w:fldCharType="end"/>
            </w:r>
          </w:hyperlink>
        </w:p>
        <w:p w:rsidR="004F3D1C" w:rsidRDefault="004F3D1C">
          <w:pPr>
            <w:pStyle w:val="TOC1"/>
            <w:tabs>
              <w:tab w:val="right" w:leader="dot" w:pos="9016"/>
            </w:tabs>
            <w:rPr>
              <w:rFonts w:asciiTheme="minorHAnsi" w:eastAsiaTheme="minorEastAsia" w:hAnsiTheme="minorHAnsi" w:cstheme="minorBidi"/>
              <w:noProof/>
              <w:lang w:val="nl-BE" w:eastAsia="nl-BE"/>
            </w:rPr>
          </w:pPr>
          <w:hyperlink w:anchor="_Toc57805967" w:history="1">
            <w:r w:rsidRPr="0035635B">
              <w:rPr>
                <w:rStyle w:val="Hyperlink"/>
                <w:noProof/>
                <w:lang w:val="en-GB"/>
              </w:rPr>
              <w:t>Tab Specific Guidelines</w:t>
            </w:r>
            <w:r>
              <w:rPr>
                <w:noProof/>
                <w:webHidden/>
              </w:rPr>
              <w:tab/>
            </w:r>
            <w:r>
              <w:rPr>
                <w:noProof/>
                <w:webHidden/>
              </w:rPr>
              <w:fldChar w:fldCharType="begin"/>
            </w:r>
            <w:r>
              <w:rPr>
                <w:noProof/>
                <w:webHidden/>
              </w:rPr>
              <w:instrText xml:space="preserve"> PAGEREF _Toc57805967 \h </w:instrText>
            </w:r>
            <w:r>
              <w:rPr>
                <w:noProof/>
                <w:webHidden/>
              </w:rPr>
            </w:r>
            <w:r>
              <w:rPr>
                <w:noProof/>
                <w:webHidden/>
              </w:rPr>
              <w:fldChar w:fldCharType="separate"/>
            </w:r>
            <w:r>
              <w:rPr>
                <w:noProof/>
                <w:webHidden/>
              </w:rPr>
              <w:t>3</w:t>
            </w:r>
            <w:r>
              <w:rPr>
                <w:noProof/>
                <w:webHidden/>
              </w:rPr>
              <w:fldChar w:fldCharType="end"/>
            </w:r>
          </w:hyperlink>
        </w:p>
        <w:p w:rsidR="004F3D1C" w:rsidRDefault="004F3D1C">
          <w:pPr>
            <w:pStyle w:val="TOC2"/>
            <w:tabs>
              <w:tab w:val="right" w:leader="dot" w:pos="9016"/>
            </w:tabs>
            <w:rPr>
              <w:rFonts w:asciiTheme="minorHAnsi" w:eastAsiaTheme="minorEastAsia" w:hAnsiTheme="minorHAnsi" w:cstheme="minorBidi"/>
              <w:noProof/>
              <w:lang w:val="nl-BE" w:eastAsia="nl-BE"/>
            </w:rPr>
          </w:pPr>
          <w:hyperlink w:anchor="_Toc57805968" w:history="1">
            <w:r w:rsidRPr="0035635B">
              <w:rPr>
                <w:rStyle w:val="Hyperlink"/>
                <w:noProof/>
                <w:lang w:val="en-GB"/>
              </w:rPr>
              <w:t>Introduction</w:t>
            </w:r>
            <w:r>
              <w:rPr>
                <w:noProof/>
                <w:webHidden/>
              </w:rPr>
              <w:tab/>
            </w:r>
            <w:r>
              <w:rPr>
                <w:noProof/>
                <w:webHidden/>
              </w:rPr>
              <w:fldChar w:fldCharType="begin"/>
            </w:r>
            <w:r>
              <w:rPr>
                <w:noProof/>
                <w:webHidden/>
              </w:rPr>
              <w:instrText xml:space="preserve"> PAGEREF _Toc57805968 \h </w:instrText>
            </w:r>
            <w:r>
              <w:rPr>
                <w:noProof/>
                <w:webHidden/>
              </w:rPr>
            </w:r>
            <w:r>
              <w:rPr>
                <w:noProof/>
                <w:webHidden/>
              </w:rPr>
              <w:fldChar w:fldCharType="separate"/>
            </w:r>
            <w:r>
              <w:rPr>
                <w:noProof/>
                <w:webHidden/>
              </w:rPr>
              <w:t>3</w:t>
            </w:r>
            <w:r>
              <w:rPr>
                <w:noProof/>
                <w:webHidden/>
              </w:rPr>
              <w:fldChar w:fldCharType="end"/>
            </w:r>
          </w:hyperlink>
        </w:p>
        <w:p w:rsidR="004F3D1C" w:rsidRDefault="004F3D1C">
          <w:pPr>
            <w:pStyle w:val="TOC2"/>
            <w:tabs>
              <w:tab w:val="right" w:leader="dot" w:pos="9016"/>
            </w:tabs>
            <w:rPr>
              <w:rFonts w:asciiTheme="minorHAnsi" w:eastAsiaTheme="minorEastAsia" w:hAnsiTheme="minorHAnsi" w:cstheme="minorBidi"/>
              <w:noProof/>
              <w:lang w:val="nl-BE" w:eastAsia="nl-BE"/>
            </w:rPr>
          </w:pPr>
          <w:hyperlink w:anchor="_Toc57805969" w:history="1">
            <w:r w:rsidRPr="0035635B">
              <w:rPr>
                <w:rStyle w:val="Hyperlink"/>
                <w:noProof/>
                <w:lang w:val="en-GB"/>
              </w:rPr>
              <w:t>A1. EEM General Mortgage Assets</w:t>
            </w:r>
            <w:r>
              <w:rPr>
                <w:noProof/>
                <w:webHidden/>
              </w:rPr>
              <w:tab/>
            </w:r>
            <w:r>
              <w:rPr>
                <w:noProof/>
                <w:webHidden/>
              </w:rPr>
              <w:fldChar w:fldCharType="begin"/>
            </w:r>
            <w:r>
              <w:rPr>
                <w:noProof/>
                <w:webHidden/>
              </w:rPr>
              <w:instrText xml:space="preserve"> PAGEREF _Toc57805969 \h </w:instrText>
            </w:r>
            <w:r>
              <w:rPr>
                <w:noProof/>
                <w:webHidden/>
              </w:rPr>
            </w:r>
            <w:r>
              <w:rPr>
                <w:noProof/>
                <w:webHidden/>
              </w:rPr>
              <w:fldChar w:fldCharType="separate"/>
            </w:r>
            <w:r>
              <w:rPr>
                <w:noProof/>
                <w:webHidden/>
              </w:rPr>
              <w:t>3</w:t>
            </w:r>
            <w:r>
              <w:rPr>
                <w:noProof/>
                <w:webHidden/>
              </w:rPr>
              <w:fldChar w:fldCharType="end"/>
            </w:r>
          </w:hyperlink>
        </w:p>
        <w:p w:rsidR="004F3D1C" w:rsidRDefault="004F3D1C">
          <w:pPr>
            <w:pStyle w:val="TOC3"/>
            <w:tabs>
              <w:tab w:val="right" w:leader="dot" w:pos="9016"/>
            </w:tabs>
            <w:rPr>
              <w:rFonts w:asciiTheme="minorHAnsi" w:eastAsiaTheme="minorEastAsia" w:hAnsiTheme="minorHAnsi" w:cstheme="minorBidi"/>
              <w:noProof/>
              <w:lang w:val="nl-BE" w:eastAsia="nl-BE"/>
            </w:rPr>
          </w:pPr>
          <w:hyperlink w:anchor="_Toc57805970" w:history="1">
            <w:r w:rsidRPr="0035635B">
              <w:rPr>
                <w:rStyle w:val="Hyperlink"/>
                <w:noProof/>
                <w:lang w:val="en-GB"/>
              </w:rPr>
              <w:t>1.4. Breakdown by Geography</w:t>
            </w:r>
            <w:r>
              <w:rPr>
                <w:noProof/>
                <w:webHidden/>
              </w:rPr>
              <w:tab/>
            </w:r>
            <w:r>
              <w:rPr>
                <w:noProof/>
                <w:webHidden/>
              </w:rPr>
              <w:fldChar w:fldCharType="begin"/>
            </w:r>
            <w:r>
              <w:rPr>
                <w:noProof/>
                <w:webHidden/>
              </w:rPr>
              <w:instrText xml:space="preserve"> PAGEREF _Toc57805970 \h </w:instrText>
            </w:r>
            <w:r>
              <w:rPr>
                <w:noProof/>
                <w:webHidden/>
              </w:rPr>
            </w:r>
            <w:r>
              <w:rPr>
                <w:noProof/>
                <w:webHidden/>
              </w:rPr>
              <w:fldChar w:fldCharType="separate"/>
            </w:r>
            <w:r>
              <w:rPr>
                <w:noProof/>
                <w:webHidden/>
              </w:rPr>
              <w:t>3</w:t>
            </w:r>
            <w:r>
              <w:rPr>
                <w:noProof/>
                <w:webHidden/>
              </w:rPr>
              <w:fldChar w:fldCharType="end"/>
            </w:r>
          </w:hyperlink>
        </w:p>
        <w:p w:rsidR="004F3D1C" w:rsidRDefault="004F3D1C">
          <w:pPr>
            <w:pStyle w:val="TOC3"/>
            <w:tabs>
              <w:tab w:val="right" w:leader="dot" w:pos="9016"/>
            </w:tabs>
            <w:rPr>
              <w:rFonts w:asciiTheme="minorHAnsi" w:eastAsiaTheme="minorEastAsia" w:hAnsiTheme="minorHAnsi" w:cstheme="minorBidi"/>
              <w:noProof/>
              <w:lang w:val="nl-BE" w:eastAsia="nl-BE"/>
            </w:rPr>
          </w:pPr>
          <w:hyperlink w:anchor="_Toc57805971" w:history="1">
            <w:r w:rsidRPr="0035635B">
              <w:rPr>
                <w:rStyle w:val="Hyperlink"/>
                <w:noProof/>
                <w:lang w:val="en-GB"/>
              </w:rPr>
              <w:t>1.5. Breakdown by regions of main country of origin</w:t>
            </w:r>
            <w:r>
              <w:rPr>
                <w:noProof/>
                <w:webHidden/>
              </w:rPr>
              <w:tab/>
            </w:r>
            <w:r>
              <w:rPr>
                <w:noProof/>
                <w:webHidden/>
              </w:rPr>
              <w:fldChar w:fldCharType="begin"/>
            </w:r>
            <w:r>
              <w:rPr>
                <w:noProof/>
                <w:webHidden/>
              </w:rPr>
              <w:instrText xml:space="preserve"> PAGEREF _Toc57805971 \h </w:instrText>
            </w:r>
            <w:r>
              <w:rPr>
                <w:noProof/>
                <w:webHidden/>
              </w:rPr>
            </w:r>
            <w:r>
              <w:rPr>
                <w:noProof/>
                <w:webHidden/>
              </w:rPr>
              <w:fldChar w:fldCharType="separate"/>
            </w:r>
            <w:r>
              <w:rPr>
                <w:noProof/>
                <w:webHidden/>
              </w:rPr>
              <w:t>3</w:t>
            </w:r>
            <w:r>
              <w:rPr>
                <w:noProof/>
                <w:webHidden/>
              </w:rPr>
              <w:fldChar w:fldCharType="end"/>
            </w:r>
          </w:hyperlink>
        </w:p>
        <w:p w:rsidR="004F3D1C" w:rsidRDefault="004F3D1C">
          <w:pPr>
            <w:pStyle w:val="TOC3"/>
            <w:tabs>
              <w:tab w:val="right" w:leader="dot" w:pos="9016"/>
            </w:tabs>
            <w:rPr>
              <w:rFonts w:asciiTheme="minorHAnsi" w:eastAsiaTheme="minorEastAsia" w:hAnsiTheme="minorHAnsi" w:cstheme="minorBidi"/>
              <w:noProof/>
              <w:lang w:val="nl-BE" w:eastAsia="nl-BE"/>
            </w:rPr>
          </w:pPr>
          <w:hyperlink w:anchor="_Toc57805972" w:history="1">
            <w:r w:rsidRPr="0035635B">
              <w:rPr>
                <w:rStyle w:val="Hyperlink"/>
                <w:noProof/>
                <w:lang w:val="en-GB"/>
              </w:rPr>
              <w:t>1.6. Breakdown by Interest Rate</w:t>
            </w:r>
            <w:r>
              <w:rPr>
                <w:noProof/>
                <w:webHidden/>
              </w:rPr>
              <w:tab/>
            </w:r>
            <w:r>
              <w:rPr>
                <w:noProof/>
                <w:webHidden/>
              </w:rPr>
              <w:fldChar w:fldCharType="begin"/>
            </w:r>
            <w:r>
              <w:rPr>
                <w:noProof/>
                <w:webHidden/>
              </w:rPr>
              <w:instrText xml:space="preserve"> PAGEREF _Toc57805972 \h </w:instrText>
            </w:r>
            <w:r>
              <w:rPr>
                <w:noProof/>
                <w:webHidden/>
              </w:rPr>
            </w:r>
            <w:r>
              <w:rPr>
                <w:noProof/>
                <w:webHidden/>
              </w:rPr>
              <w:fldChar w:fldCharType="separate"/>
            </w:r>
            <w:r>
              <w:rPr>
                <w:noProof/>
                <w:webHidden/>
              </w:rPr>
              <w:t>7</w:t>
            </w:r>
            <w:r>
              <w:rPr>
                <w:noProof/>
                <w:webHidden/>
              </w:rPr>
              <w:fldChar w:fldCharType="end"/>
            </w:r>
          </w:hyperlink>
        </w:p>
        <w:p w:rsidR="004F3D1C" w:rsidRDefault="004F3D1C">
          <w:pPr>
            <w:pStyle w:val="TOC3"/>
            <w:tabs>
              <w:tab w:val="right" w:leader="dot" w:pos="9016"/>
            </w:tabs>
            <w:rPr>
              <w:rFonts w:asciiTheme="minorHAnsi" w:eastAsiaTheme="minorEastAsia" w:hAnsiTheme="minorHAnsi" w:cstheme="minorBidi"/>
              <w:noProof/>
              <w:lang w:val="nl-BE" w:eastAsia="nl-BE"/>
            </w:rPr>
          </w:pPr>
          <w:hyperlink w:anchor="_Toc57805973" w:history="1">
            <w:r w:rsidRPr="0035635B">
              <w:rPr>
                <w:rStyle w:val="Hyperlink"/>
                <w:noProof/>
                <w:lang w:val="en-GB"/>
              </w:rPr>
              <w:t>1.7. Breakdown by Repayment Type</w:t>
            </w:r>
            <w:r>
              <w:rPr>
                <w:noProof/>
                <w:webHidden/>
              </w:rPr>
              <w:tab/>
            </w:r>
            <w:r>
              <w:rPr>
                <w:noProof/>
                <w:webHidden/>
              </w:rPr>
              <w:fldChar w:fldCharType="begin"/>
            </w:r>
            <w:r>
              <w:rPr>
                <w:noProof/>
                <w:webHidden/>
              </w:rPr>
              <w:instrText xml:space="preserve"> PAGEREF _Toc57805973 \h </w:instrText>
            </w:r>
            <w:r>
              <w:rPr>
                <w:noProof/>
                <w:webHidden/>
              </w:rPr>
            </w:r>
            <w:r>
              <w:rPr>
                <w:noProof/>
                <w:webHidden/>
              </w:rPr>
              <w:fldChar w:fldCharType="separate"/>
            </w:r>
            <w:r>
              <w:rPr>
                <w:noProof/>
                <w:webHidden/>
              </w:rPr>
              <w:t>7</w:t>
            </w:r>
            <w:r>
              <w:rPr>
                <w:noProof/>
                <w:webHidden/>
              </w:rPr>
              <w:fldChar w:fldCharType="end"/>
            </w:r>
          </w:hyperlink>
        </w:p>
        <w:p w:rsidR="004F3D1C" w:rsidRDefault="004F3D1C">
          <w:pPr>
            <w:pStyle w:val="TOC3"/>
            <w:tabs>
              <w:tab w:val="right" w:leader="dot" w:pos="9016"/>
            </w:tabs>
            <w:rPr>
              <w:rFonts w:asciiTheme="minorHAnsi" w:eastAsiaTheme="minorEastAsia" w:hAnsiTheme="minorHAnsi" w:cstheme="minorBidi"/>
              <w:noProof/>
              <w:lang w:val="nl-BE" w:eastAsia="nl-BE"/>
            </w:rPr>
          </w:pPr>
          <w:hyperlink w:anchor="_Toc57805974" w:history="1">
            <w:r w:rsidRPr="0035635B">
              <w:rPr>
                <w:rStyle w:val="Hyperlink"/>
                <w:noProof/>
                <w:lang w:val="en-GB"/>
              </w:rPr>
              <w:t>1.8. Loan Seasoning</w:t>
            </w:r>
            <w:r>
              <w:rPr>
                <w:noProof/>
                <w:webHidden/>
              </w:rPr>
              <w:tab/>
            </w:r>
            <w:r>
              <w:rPr>
                <w:noProof/>
                <w:webHidden/>
              </w:rPr>
              <w:fldChar w:fldCharType="begin"/>
            </w:r>
            <w:r>
              <w:rPr>
                <w:noProof/>
                <w:webHidden/>
              </w:rPr>
              <w:instrText xml:space="preserve"> PAGEREF _Toc57805974 \h </w:instrText>
            </w:r>
            <w:r>
              <w:rPr>
                <w:noProof/>
                <w:webHidden/>
              </w:rPr>
            </w:r>
            <w:r>
              <w:rPr>
                <w:noProof/>
                <w:webHidden/>
              </w:rPr>
              <w:fldChar w:fldCharType="separate"/>
            </w:r>
            <w:r>
              <w:rPr>
                <w:noProof/>
                <w:webHidden/>
              </w:rPr>
              <w:t>7</w:t>
            </w:r>
            <w:r>
              <w:rPr>
                <w:noProof/>
                <w:webHidden/>
              </w:rPr>
              <w:fldChar w:fldCharType="end"/>
            </w:r>
          </w:hyperlink>
        </w:p>
        <w:p w:rsidR="004F3D1C" w:rsidRDefault="004F3D1C">
          <w:pPr>
            <w:pStyle w:val="TOC3"/>
            <w:tabs>
              <w:tab w:val="right" w:leader="dot" w:pos="9016"/>
            </w:tabs>
            <w:rPr>
              <w:rFonts w:asciiTheme="minorHAnsi" w:eastAsiaTheme="minorEastAsia" w:hAnsiTheme="minorHAnsi" w:cstheme="minorBidi"/>
              <w:noProof/>
              <w:lang w:val="nl-BE" w:eastAsia="nl-BE"/>
            </w:rPr>
          </w:pPr>
          <w:hyperlink w:anchor="_Toc57805975" w:history="1">
            <w:r w:rsidRPr="0035635B">
              <w:rPr>
                <w:rStyle w:val="Hyperlink"/>
                <w:noProof/>
                <w:lang w:val="en-GB"/>
              </w:rPr>
              <w:t>1.A - 10. Loan Size information and 1.B – 15. Loan Size information</w:t>
            </w:r>
            <w:r>
              <w:rPr>
                <w:noProof/>
                <w:webHidden/>
              </w:rPr>
              <w:tab/>
            </w:r>
            <w:r>
              <w:rPr>
                <w:noProof/>
                <w:webHidden/>
              </w:rPr>
              <w:fldChar w:fldCharType="begin"/>
            </w:r>
            <w:r>
              <w:rPr>
                <w:noProof/>
                <w:webHidden/>
              </w:rPr>
              <w:instrText xml:space="preserve"> PAGEREF _Toc57805975 \h </w:instrText>
            </w:r>
            <w:r>
              <w:rPr>
                <w:noProof/>
                <w:webHidden/>
              </w:rPr>
            </w:r>
            <w:r>
              <w:rPr>
                <w:noProof/>
                <w:webHidden/>
              </w:rPr>
              <w:fldChar w:fldCharType="separate"/>
            </w:r>
            <w:r>
              <w:rPr>
                <w:noProof/>
                <w:webHidden/>
              </w:rPr>
              <w:t>7</w:t>
            </w:r>
            <w:r>
              <w:rPr>
                <w:noProof/>
                <w:webHidden/>
              </w:rPr>
              <w:fldChar w:fldCharType="end"/>
            </w:r>
          </w:hyperlink>
        </w:p>
        <w:p w:rsidR="004F3D1C" w:rsidRDefault="004F3D1C">
          <w:pPr>
            <w:pStyle w:val="TOC3"/>
            <w:tabs>
              <w:tab w:val="right" w:leader="dot" w:pos="9016"/>
            </w:tabs>
            <w:rPr>
              <w:rFonts w:asciiTheme="minorHAnsi" w:eastAsiaTheme="minorEastAsia" w:hAnsiTheme="minorHAnsi" w:cstheme="minorBidi"/>
              <w:noProof/>
              <w:lang w:val="nl-BE" w:eastAsia="nl-BE"/>
            </w:rPr>
          </w:pPr>
          <w:hyperlink w:anchor="_Toc57805976" w:history="1">
            <w:r w:rsidRPr="0035635B">
              <w:rPr>
                <w:rStyle w:val="Hyperlink"/>
                <w:noProof/>
                <w:lang w:val="en-GB"/>
              </w:rPr>
              <w:t>S</w:t>
            </w:r>
            <w:r w:rsidRPr="0035635B">
              <w:rPr>
                <w:rStyle w:val="Hyperlink"/>
                <w:noProof/>
                <w:lang w:val="en-BE"/>
              </w:rPr>
              <w:t>ustainable data section (</w:t>
            </w:r>
            <w:r w:rsidRPr="0035635B">
              <w:rPr>
                <w:rStyle w:val="Hyperlink"/>
                <w:noProof/>
                <w:lang w:val="en-GB"/>
              </w:rPr>
              <w:t>1.A. Residential mortgages 1</w:t>
            </w:r>
            <w:r w:rsidRPr="0035635B">
              <w:rPr>
                <w:rStyle w:val="Hyperlink"/>
                <w:noProof/>
                <w:lang w:val="en-BE"/>
              </w:rPr>
              <w:t>5.- 19.</w:t>
            </w:r>
            <w:r w:rsidRPr="0035635B">
              <w:rPr>
                <w:rStyle w:val="Hyperlink"/>
                <w:noProof/>
                <w:lang w:val="en-GB"/>
              </w:rPr>
              <w:t xml:space="preserve"> And 1.B. Commercial mortgages 24.-27.</w:t>
            </w:r>
            <w:r w:rsidRPr="0035635B">
              <w:rPr>
                <w:rStyle w:val="Hyperlink"/>
                <w:noProof/>
                <w:lang w:val="en-BE"/>
              </w:rPr>
              <w:t>)</w:t>
            </w:r>
            <w:r>
              <w:rPr>
                <w:noProof/>
                <w:webHidden/>
              </w:rPr>
              <w:tab/>
            </w:r>
            <w:r>
              <w:rPr>
                <w:noProof/>
                <w:webHidden/>
              </w:rPr>
              <w:fldChar w:fldCharType="begin"/>
            </w:r>
            <w:r>
              <w:rPr>
                <w:noProof/>
                <w:webHidden/>
              </w:rPr>
              <w:instrText xml:space="preserve"> PAGEREF _Toc57805976 \h </w:instrText>
            </w:r>
            <w:r>
              <w:rPr>
                <w:noProof/>
                <w:webHidden/>
              </w:rPr>
            </w:r>
            <w:r>
              <w:rPr>
                <w:noProof/>
                <w:webHidden/>
              </w:rPr>
              <w:fldChar w:fldCharType="separate"/>
            </w:r>
            <w:r>
              <w:rPr>
                <w:noProof/>
                <w:webHidden/>
              </w:rPr>
              <w:t>13</w:t>
            </w:r>
            <w:r>
              <w:rPr>
                <w:noProof/>
                <w:webHidden/>
              </w:rPr>
              <w:fldChar w:fldCharType="end"/>
            </w:r>
          </w:hyperlink>
        </w:p>
        <w:p w:rsidR="004F3D1C" w:rsidRDefault="004F3D1C">
          <w:pPr>
            <w:pStyle w:val="TOC2"/>
            <w:tabs>
              <w:tab w:val="right" w:leader="dot" w:pos="9016"/>
            </w:tabs>
            <w:rPr>
              <w:rFonts w:asciiTheme="minorHAnsi" w:eastAsiaTheme="minorEastAsia" w:hAnsiTheme="minorHAnsi" w:cstheme="minorBidi"/>
              <w:noProof/>
              <w:lang w:val="nl-BE" w:eastAsia="nl-BE"/>
            </w:rPr>
          </w:pPr>
          <w:hyperlink w:anchor="_Toc57805977" w:history="1">
            <w:r w:rsidRPr="0035635B">
              <w:rPr>
                <w:rStyle w:val="Hyperlink"/>
                <w:noProof/>
                <w:lang w:val="en-GB"/>
              </w:rPr>
              <w:t>B</w:t>
            </w:r>
            <w:r w:rsidRPr="0035635B">
              <w:rPr>
                <w:rStyle w:val="Hyperlink"/>
                <w:noProof/>
                <w:lang w:val="en-BE"/>
              </w:rPr>
              <w:t>1</w:t>
            </w:r>
            <w:r w:rsidRPr="0035635B">
              <w:rPr>
                <w:rStyle w:val="Hyperlink"/>
                <w:noProof/>
                <w:lang w:val="en-GB"/>
              </w:rPr>
              <w:t xml:space="preserve">. EEM </w:t>
            </w:r>
            <w:r w:rsidRPr="0035635B">
              <w:rPr>
                <w:rStyle w:val="Hyperlink"/>
                <w:noProof/>
                <w:lang w:val="en-BE"/>
              </w:rPr>
              <w:t>Sustainable Mortgage</w:t>
            </w:r>
            <w:r w:rsidRPr="0035635B">
              <w:rPr>
                <w:rStyle w:val="Hyperlink"/>
                <w:noProof/>
                <w:lang w:val="en-GB"/>
              </w:rPr>
              <w:t xml:space="preserve"> Assets</w:t>
            </w:r>
            <w:r>
              <w:rPr>
                <w:noProof/>
                <w:webHidden/>
              </w:rPr>
              <w:tab/>
            </w:r>
            <w:r>
              <w:rPr>
                <w:noProof/>
                <w:webHidden/>
              </w:rPr>
              <w:fldChar w:fldCharType="begin"/>
            </w:r>
            <w:r>
              <w:rPr>
                <w:noProof/>
                <w:webHidden/>
              </w:rPr>
              <w:instrText xml:space="preserve"> PAGEREF _Toc57805977 \h </w:instrText>
            </w:r>
            <w:r>
              <w:rPr>
                <w:noProof/>
                <w:webHidden/>
              </w:rPr>
            </w:r>
            <w:r>
              <w:rPr>
                <w:noProof/>
                <w:webHidden/>
              </w:rPr>
              <w:fldChar w:fldCharType="separate"/>
            </w:r>
            <w:r>
              <w:rPr>
                <w:noProof/>
                <w:webHidden/>
              </w:rPr>
              <w:t>14</w:t>
            </w:r>
            <w:r>
              <w:rPr>
                <w:noProof/>
                <w:webHidden/>
              </w:rPr>
              <w:fldChar w:fldCharType="end"/>
            </w:r>
          </w:hyperlink>
        </w:p>
        <w:p w:rsidR="004F3D1C" w:rsidRDefault="004F3D1C">
          <w:pPr>
            <w:pStyle w:val="TOC3"/>
            <w:tabs>
              <w:tab w:val="right" w:leader="dot" w:pos="9016"/>
            </w:tabs>
            <w:rPr>
              <w:rFonts w:asciiTheme="minorHAnsi" w:eastAsiaTheme="minorEastAsia" w:hAnsiTheme="minorHAnsi" w:cstheme="minorBidi"/>
              <w:noProof/>
              <w:lang w:val="nl-BE" w:eastAsia="nl-BE"/>
            </w:rPr>
          </w:pPr>
          <w:hyperlink w:anchor="_Toc57805978" w:history="1">
            <w:r w:rsidRPr="0035635B">
              <w:rPr>
                <w:rStyle w:val="Hyperlink"/>
                <w:noProof/>
                <w:lang w:val="en-GB"/>
              </w:rPr>
              <w:t xml:space="preserve">Section </w:t>
            </w:r>
            <w:r w:rsidRPr="0035635B">
              <w:rPr>
                <w:rStyle w:val="Hyperlink"/>
                <w:noProof/>
                <w:lang w:val="en-BE"/>
              </w:rPr>
              <w:t xml:space="preserve">1. Share of </w:t>
            </w:r>
            <w:r w:rsidRPr="0035635B">
              <w:rPr>
                <w:rStyle w:val="Hyperlink"/>
                <w:noProof/>
                <w:lang w:val="en-GB"/>
              </w:rPr>
              <w:t>EEMI-eligible loans in the total mortgage program</w:t>
            </w:r>
            <w:r>
              <w:rPr>
                <w:noProof/>
                <w:webHidden/>
              </w:rPr>
              <w:tab/>
            </w:r>
            <w:r>
              <w:rPr>
                <w:noProof/>
                <w:webHidden/>
              </w:rPr>
              <w:fldChar w:fldCharType="begin"/>
            </w:r>
            <w:r>
              <w:rPr>
                <w:noProof/>
                <w:webHidden/>
              </w:rPr>
              <w:instrText xml:space="preserve"> PAGEREF _Toc57805978 \h </w:instrText>
            </w:r>
            <w:r>
              <w:rPr>
                <w:noProof/>
                <w:webHidden/>
              </w:rPr>
            </w:r>
            <w:r>
              <w:rPr>
                <w:noProof/>
                <w:webHidden/>
              </w:rPr>
              <w:fldChar w:fldCharType="separate"/>
            </w:r>
            <w:r>
              <w:rPr>
                <w:noProof/>
                <w:webHidden/>
              </w:rPr>
              <w:t>14</w:t>
            </w:r>
            <w:r>
              <w:rPr>
                <w:noProof/>
                <w:webHidden/>
              </w:rPr>
              <w:fldChar w:fldCharType="end"/>
            </w:r>
          </w:hyperlink>
        </w:p>
        <w:p w:rsidR="004F3D1C" w:rsidRDefault="004F3D1C">
          <w:r>
            <w:rPr>
              <w:b/>
              <w:bCs/>
              <w:noProof/>
            </w:rPr>
            <w:fldChar w:fldCharType="end"/>
          </w:r>
        </w:p>
      </w:sdtContent>
    </w:sdt>
    <w:p w:rsidR="004F3D1C" w:rsidRDefault="004F3D1C" w:rsidP="009A76A4">
      <w:pPr>
        <w:pStyle w:val="Heading1"/>
        <w:rPr>
          <w:lang w:val="en-GB"/>
        </w:rPr>
      </w:pPr>
    </w:p>
    <w:p w:rsidR="004F3D1C" w:rsidRDefault="004F3D1C" w:rsidP="009A76A4">
      <w:pPr>
        <w:pStyle w:val="Heading1"/>
        <w:rPr>
          <w:lang w:val="en-GB"/>
        </w:rPr>
      </w:pPr>
      <w:r>
        <w:rPr>
          <w:lang w:val="en-GB"/>
        </w:rPr>
        <w:br w:type="page"/>
      </w:r>
    </w:p>
    <w:p w:rsidR="009A76A4" w:rsidRDefault="009A76A4" w:rsidP="009A76A4">
      <w:pPr>
        <w:pStyle w:val="Heading1"/>
        <w:rPr>
          <w:lang w:val="en-GB"/>
        </w:rPr>
      </w:pPr>
      <w:bookmarkStart w:id="1" w:name="_Toc57805965"/>
      <w:r>
        <w:rPr>
          <w:lang w:val="en-GB"/>
        </w:rPr>
        <w:t>Purpose</w:t>
      </w:r>
      <w:bookmarkEnd w:id="0"/>
      <w:bookmarkEnd w:id="1"/>
    </w:p>
    <w:p w:rsidR="009A76A4" w:rsidRDefault="009A76A4" w:rsidP="009A76A4">
      <w:pPr>
        <w:spacing w:after="0" w:line="288" w:lineRule="auto"/>
        <w:jc w:val="both"/>
        <w:rPr>
          <w:rFonts w:ascii="Verdana" w:hAnsi="Verdana"/>
          <w:color w:val="000000"/>
          <w:sz w:val="18"/>
          <w:szCs w:val="18"/>
          <w:lang w:val="en-GB"/>
        </w:rPr>
      </w:pPr>
    </w:p>
    <w:p w:rsidR="003E7392" w:rsidRDefault="009A76A4" w:rsidP="004F3D1C">
      <w:pPr>
        <w:spacing w:after="0" w:line="288" w:lineRule="auto"/>
        <w:jc w:val="both"/>
        <w:rPr>
          <w:lang w:val="en-GB"/>
        </w:rPr>
      </w:pPr>
      <w:r>
        <w:rPr>
          <w:rFonts w:ascii="Verdana" w:hAnsi="Verdana"/>
          <w:color w:val="000000"/>
          <w:sz w:val="18"/>
          <w:szCs w:val="18"/>
          <w:lang w:val="en-GB"/>
        </w:rPr>
        <w:t xml:space="preserve">With </w:t>
      </w:r>
      <w:r w:rsidR="004F3D1C">
        <w:rPr>
          <w:rFonts w:ascii="Verdana" w:hAnsi="Verdana"/>
          <w:color w:val="000000"/>
          <w:sz w:val="18"/>
          <w:szCs w:val="18"/>
          <w:lang w:val="en-GB"/>
        </w:rPr>
        <w:t xml:space="preserve">onset of </w:t>
      </w:r>
      <w:r>
        <w:rPr>
          <w:rFonts w:ascii="Verdana" w:hAnsi="Verdana"/>
          <w:color w:val="000000"/>
          <w:sz w:val="18"/>
          <w:szCs w:val="18"/>
          <w:lang w:val="en-GB"/>
        </w:rPr>
        <w:t xml:space="preserve">the Energy Efficient Mortgage Label </w:t>
      </w:r>
      <w:r w:rsidR="004F3D1C">
        <w:rPr>
          <w:rFonts w:ascii="Verdana" w:hAnsi="Verdana"/>
          <w:color w:val="000000"/>
          <w:sz w:val="18"/>
          <w:szCs w:val="18"/>
          <w:lang w:val="en-GB"/>
        </w:rPr>
        <w:t xml:space="preserve">a milestone in data collection specifically on energy efficient data in commercial and real estate mortgages has been reached and the Harmonised Disclosure Template (HDT) acts as the main practical tool to produce consistent and comparable datasets both within and across jurisdictions. Knowing the challenge that even with a common template the various data fields can be populated in various ways the EEM Label decided to provide these practical guidelines for further information on how to effectively compile the HTT. The guidelines are undergoing continuous revisions in order to address questions and clarifications received from the lending institutions in order to ensure the highest possible clarity and user-friendliness.  </w:t>
      </w:r>
    </w:p>
    <w:p w:rsidR="009A76A4" w:rsidRDefault="009A76A4">
      <w:pPr>
        <w:rPr>
          <w:lang w:val="en-GB"/>
        </w:rPr>
      </w:pPr>
    </w:p>
    <w:p w:rsidR="009A76A4" w:rsidRPr="00BE3724" w:rsidRDefault="009A76A4" w:rsidP="009A76A4">
      <w:pPr>
        <w:pStyle w:val="Heading1"/>
        <w:rPr>
          <w:lang w:val="en-GB"/>
        </w:rPr>
      </w:pPr>
      <w:bookmarkStart w:id="2" w:name="_Toc45273887"/>
      <w:bookmarkStart w:id="3" w:name="_Toc57805966"/>
      <w:r w:rsidRPr="00BE3724">
        <w:rPr>
          <w:lang w:val="en-GB"/>
        </w:rPr>
        <w:lastRenderedPageBreak/>
        <w:t>General guidelines</w:t>
      </w:r>
      <w:bookmarkEnd w:id="2"/>
      <w:bookmarkEnd w:id="3"/>
    </w:p>
    <w:p w:rsidR="009A76A4" w:rsidRDefault="009A76A4" w:rsidP="009A76A4">
      <w:pPr>
        <w:spacing w:after="0" w:line="288" w:lineRule="auto"/>
        <w:jc w:val="both"/>
        <w:rPr>
          <w:rFonts w:ascii="Verdana" w:hAnsi="Verdana"/>
          <w:color w:val="000000"/>
          <w:sz w:val="18"/>
          <w:szCs w:val="18"/>
          <w:lang w:val="en-GB"/>
        </w:rPr>
      </w:pPr>
    </w:p>
    <w:p w:rsidR="009A76A4" w:rsidRDefault="009A76A4" w:rsidP="009A76A4">
      <w:pPr>
        <w:pStyle w:val="ListParagraph"/>
        <w:numPr>
          <w:ilvl w:val="0"/>
          <w:numId w:val="8"/>
        </w:numPr>
        <w:rPr>
          <w:rFonts w:ascii="Verdana" w:hAnsi="Verdana"/>
          <w:color w:val="000000"/>
          <w:sz w:val="18"/>
          <w:szCs w:val="18"/>
          <w:lang w:val="en-GB"/>
        </w:rPr>
      </w:pPr>
      <w:r w:rsidRPr="009A76A4">
        <w:rPr>
          <w:rFonts w:ascii="Verdana" w:hAnsi="Verdana"/>
          <w:color w:val="000000"/>
          <w:sz w:val="18"/>
          <w:szCs w:val="18"/>
          <w:lang w:val="en-GB"/>
        </w:rPr>
        <w:t xml:space="preserve">Every program has one separate EEM HDT. </w:t>
      </w:r>
      <w:r w:rsidR="009D736D">
        <w:rPr>
          <w:rFonts w:ascii="Verdana" w:hAnsi="Verdana"/>
          <w:color w:val="000000"/>
          <w:sz w:val="18"/>
          <w:szCs w:val="18"/>
          <w:lang w:val="en-GB"/>
        </w:rPr>
        <w:t>Lending institutions</w:t>
      </w:r>
      <w:r w:rsidRPr="009A76A4">
        <w:rPr>
          <w:rFonts w:ascii="Verdana" w:hAnsi="Verdana"/>
          <w:color w:val="000000"/>
          <w:sz w:val="18"/>
          <w:szCs w:val="18"/>
          <w:lang w:val="en-GB"/>
        </w:rPr>
        <w:t xml:space="preserve"> with more than one sustainable mortgage program have to present as many separate EEM HDTs as the number of programs.</w:t>
      </w:r>
    </w:p>
    <w:p w:rsidR="009A76A4" w:rsidRDefault="009A76A4" w:rsidP="009A76A4">
      <w:pPr>
        <w:pStyle w:val="ListParagraph"/>
        <w:numPr>
          <w:ilvl w:val="0"/>
          <w:numId w:val="8"/>
        </w:numPr>
        <w:rPr>
          <w:rFonts w:ascii="Verdana" w:hAnsi="Verdana"/>
          <w:color w:val="000000"/>
          <w:sz w:val="18"/>
          <w:szCs w:val="18"/>
          <w:lang w:val="en-GB"/>
        </w:rPr>
      </w:pPr>
      <w:r w:rsidRPr="009A76A4">
        <w:rPr>
          <w:rFonts w:ascii="Verdana" w:hAnsi="Verdana"/>
          <w:color w:val="000000"/>
          <w:sz w:val="18"/>
          <w:szCs w:val="18"/>
          <w:lang w:val="en-GB"/>
        </w:rPr>
        <w:t>All cells that include “[For completion]” and “[Mark as ND if not relevant]” needs to be completed</w:t>
      </w:r>
      <w:r>
        <w:rPr>
          <w:rFonts w:ascii="Verdana" w:hAnsi="Verdana"/>
          <w:color w:val="000000"/>
          <w:sz w:val="18"/>
          <w:szCs w:val="18"/>
          <w:lang w:val="en-GB"/>
        </w:rPr>
        <w:t>.</w:t>
      </w:r>
    </w:p>
    <w:p w:rsidR="009A76A4" w:rsidRDefault="009A76A4" w:rsidP="009A76A4">
      <w:pPr>
        <w:pStyle w:val="ListParagraph"/>
        <w:numPr>
          <w:ilvl w:val="0"/>
          <w:numId w:val="8"/>
        </w:numPr>
        <w:rPr>
          <w:rFonts w:ascii="Verdana" w:hAnsi="Verdana"/>
          <w:color w:val="000000"/>
          <w:sz w:val="18"/>
          <w:szCs w:val="18"/>
          <w:lang w:val="en-GB"/>
        </w:rPr>
      </w:pPr>
      <w:r w:rsidRPr="009A76A4">
        <w:rPr>
          <w:rFonts w:ascii="Verdana" w:hAnsi="Verdana"/>
          <w:color w:val="000000"/>
          <w:sz w:val="18"/>
          <w:szCs w:val="18"/>
          <w:lang w:val="en-GB"/>
        </w:rPr>
        <w:t>The  "[For completion]" or "[Mark as ND if not relevant]" cells could be filled with</w:t>
      </w:r>
      <w:r>
        <w:rPr>
          <w:rFonts w:ascii="Verdana" w:hAnsi="Verdana"/>
          <w:color w:val="000000"/>
          <w:sz w:val="18"/>
          <w:szCs w:val="18"/>
          <w:lang w:val="en-GB"/>
        </w:rPr>
        <w:t>:</w:t>
      </w:r>
    </w:p>
    <w:p w:rsidR="009A76A4" w:rsidRDefault="009A76A4" w:rsidP="009A76A4">
      <w:pPr>
        <w:pStyle w:val="ListParagraph"/>
        <w:numPr>
          <w:ilvl w:val="1"/>
          <w:numId w:val="8"/>
        </w:numPr>
        <w:rPr>
          <w:rFonts w:ascii="Verdana" w:hAnsi="Verdana"/>
          <w:color w:val="000000"/>
          <w:sz w:val="18"/>
          <w:szCs w:val="18"/>
          <w:lang w:val="en-GB"/>
        </w:rPr>
      </w:pPr>
      <w:r w:rsidRPr="009A76A4">
        <w:rPr>
          <w:rFonts w:ascii="Verdana" w:hAnsi="Verdana"/>
          <w:color w:val="000000"/>
          <w:sz w:val="18"/>
          <w:szCs w:val="18"/>
          <w:lang w:val="en-GB"/>
        </w:rPr>
        <w:t>Numbers: Please insert the appropriate data</w:t>
      </w:r>
    </w:p>
    <w:p w:rsidR="009A76A4" w:rsidRDefault="009A76A4" w:rsidP="009A76A4">
      <w:pPr>
        <w:pStyle w:val="ListParagraph"/>
        <w:numPr>
          <w:ilvl w:val="1"/>
          <w:numId w:val="8"/>
        </w:numPr>
        <w:rPr>
          <w:rFonts w:ascii="Verdana" w:hAnsi="Verdana"/>
          <w:color w:val="000000"/>
          <w:sz w:val="18"/>
          <w:szCs w:val="18"/>
          <w:lang w:val="en-GB"/>
        </w:rPr>
      </w:pPr>
      <w:r w:rsidRPr="009A76A4">
        <w:rPr>
          <w:rFonts w:ascii="Verdana" w:hAnsi="Verdana"/>
          <w:color w:val="000000"/>
          <w:sz w:val="18"/>
          <w:szCs w:val="18"/>
          <w:lang w:val="en-GB"/>
        </w:rPr>
        <w:t>Letters: Please insert either No Data (ND)</w:t>
      </w:r>
    </w:p>
    <w:p w:rsidR="009A76A4" w:rsidRDefault="009A76A4" w:rsidP="009A76A4">
      <w:pPr>
        <w:pStyle w:val="ListParagraph"/>
        <w:numPr>
          <w:ilvl w:val="2"/>
          <w:numId w:val="8"/>
        </w:numPr>
        <w:rPr>
          <w:rFonts w:ascii="Verdana" w:hAnsi="Verdana"/>
          <w:color w:val="000000"/>
          <w:sz w:val="18"/>
          <w:szCs w:val="18"/>
          <w:lang w:val="en-GB"/>
        </w:rPr>
      </w:pPr>
      <w:r w:rsidRPr="009A76A4">
        <w:rPr>
          <w:rFonts w:ascii="Verdana" w:hAnsi="Verdana"/>
          <w:color w:val="000000"/>
          <w:sz w:val="18"/>
          <w:szCs w:val="18"/>
          <w:lang w:val="en-GB"/>
        </w:rPr>
        <w:t xml:space="preserve">ND1: Please complete the cell with ND1 when the information is not applicable for the jurisdiction </w:t>
      </w:r>
    </w:p>
    <w:p w:rsidR="009A76A4" w:rsidRDefault="009A76A4" w:rsidP="009A76A4">
      <w:pPr>
        <w:pStyle w:val="ListParagraph"/>
        <w:numPr>
          <w:ilvl w:val="2"/>
          <w:numId w:val="8"/>
        </w:numPr>
        <w:rPr>
          <w:rFonts w:ascii="Verdana" w:hAnsi="Verdana"/>
          <w:color w:val="000000"/>
          <w:sz w:val="18"/>
          <w:szCs w:val="18"/>
          <w:lang w:val="en-GB"/>
        </w:rPr>
      </w:pPr>
      <w:r w:rsidRPr="009A76A4">
        <w:rPr>
          <w:rFonts w:ascii="Verdana" w:hAnsi="Verdana"/>
          <w:color w:val="000000"/>
          <w:sz w:val="18"/>
          <w:szCs w:val="18"/>
          <w:lang w:val="en-GB"/>
        </w:rPr>
        <w:t xml:space="preserve">ND2: Please complete the cell with ND2 when the information is not relevant for the </w:t>
      </w:r>
      <w:r w:rsidR="009D736D">
        <w:rPr>
          <w:rFonts w:ascii="Verdana" w:hAnsi="Verdana"/>
          <w:color w:val="000000"/>
          <w:sz w:val="18"/>
          <w:szCs w:val="18"/>
          <w:lang w:val="en-GB"/>
        </w:rPr>
        <w:t>Lending institution</w:t>
      </w:r>
    </w:p>
    <w:p w:rsidR="009A76A4" w:rsidRDefault="009A76A4" w:rsidP="009A76A4">
      <w:pPr>
        <w:pStyle w:val="ListParagraph"/>
        <w:numPr>
          <w:ilvl w:val="2"/>
          <w:numId w:val="8"/>
        </w:numPr>
        <w:rPr>
          <w:rFonts w:ascii="Verdana" w:hAnsi="Verdana"/>
          <w:color w:val="000000"/>
          <w:sz w:val="18"/>
          <w:szCs w:val="18"/>
          <w:lang w:val="en-GB"/>
        </w:rPr>
      </w:pPr>
      <w:r w:rsidRPr="009A76A4">
        <w:rPr>
          <w:rFonts w:ascii="Verdana" w:hAnsi="Verdana"/>
          <w:color w:val="000000"/>
          <w:sz w:val="18"/>
          <w:szCs w:val="18"/>
          <w:lang w:val="en-GB"/>
        </w:rPr>
        <w:t>ND3: Please complete the cell with ND3 when the information is not available at the present time</w:t>
      </w:r>
    </w:p>
    <w:p w:rsidR="009A76A4" w:rsidRDefault="009A76A4" w:rsidP="009A76A4">
      <w:pPr>
        <w:pStyle w:val="ListParagraph"/>
        <w:numPr>
          <w:ilvl w:val="0"/>
          <w:numId w:val="8"/>
        </w:numPr>
        <w:rPr>
          <w:rFonts w:ascii="Verdana" w:hAnsi="Verdana"/>
          <w:color w:val="000000"/>
          <w:sz w:val="18"/>
          <w:szCs w:val="18"/>
          <w:lang w:val="en-GB"/>
        </w:rPr>
      </w:pPr>
      <w:r w:rsidRPr="009A76A4">
        <w:rPr>
          <w:rFonts w:ascii="Verdana" w:hAnsi="Verdana"/>
          <w:color w:val="000000"/>
          <w:sz w:val="18"/>
          <w:szCs w:val="18"/>
          <w:lang w:val="en-GB"/>
        </w:rPr>
        <w:t>Please note that the percentage cells will be automatically completed by the spreadsheet</w:t>
      </w:r>
      <w:r>
        <w:rPr>
          <w:rFonts w:ascii="Verdana" w:hAnsi="Verdana"/>
          <w:color w:val="000000"/>
          <w:sz w:val="18"/>
          <w:szCs w:val="18"/>
          <w:lang w:val="en-GB"/>
        </w:rPr>
        <w:t>.</w:t>
      </w:r>
    </w:p>
    <w:p w:rsidR="009A76A4" w:rsidRDefault="009A76A4" w:rsidP="009A76A4">
      <w:pPr>
        <w:pStyle w:val="ListParagraph"/>
        <w:numPr>
          <w:ilvl w:val="0"/>
          <w:numId w:val="8"/>
        </w:numPr>
        <w:rPr>
          <w:rFonts w:ascii="Verdana" w:hAnsi="Verdana"/>
          <w:color w:val="000000"/>
          <w:sz w:val="18"/>
          <w:szCs w:val="18"/>
          <w:lang w:val="en-GB"/>
        </w:rPr>
      </w:pPr>
      <w:r w:rsidRPr="009A76A4">
        <w:rPr>
          <w:rFonts w:ascii="Verdana" w:hAnsi="Verdana"/>
          <w:color w:val="000000"/>
          <w:sz w:val="18"/>
          <w:szCs w:val="18"/>
          <w:lang w:val="en-GB"/>
        </w:rPr>
        <w:t>The wording of the tabs are not to be changed.</w:t>
      </w:r>
    </w:p>
    <w:p w:rsidR="009A76A4" w:rsidRDefault="009A76A4" w:rsidP="009A76A4">
      <w:pPr>
        <w:pStyle w:val="ListParagraph"/>
        <w:numPr>
          <w:ilvl w:val="0"/>
          <w:numId w:val="8"/>
        </w:numPr>
        <w:rPr>
          <w:rFonts w:ascii="Verdana" w:hAnsi="Verdana"/>
          <w:color w:val="000000"/>
          <w:sz w:val="18"/>
          <w:szCs w:val="18"/>
          <w:lang w:val="en-GB"/>
        </w:rPr>
      </w:pPr>
      <w:r w:rsidRPr="009A76A4">
        <w:rPr>
          <w:rFonts w:ascii="Verdana" w:hAnsi="Verdana"/>
          <w:color w:val="000000"/>
          <w:sz w:val="18"/>
          <w:szCs w:val="18"/>
          <w:lang w:val="en-GB"/>
        </w:rPr>
        <w:t>Should you make references to external documents or cells in this document, please insert the hyperlink.</w:t>
      </w:r>
    </w:p>
    <w:p w:rsidR="009A76A4" w:rsidRDefault="009A76A4" w:rsidP="009A76A4">
      <w:pPr>
        <w:pStyle w:val="ListParagraph"/>
        <w:numPr>
          <w:ilvl w:val="0"/>
          <w:numId w:val="8"/>
        </w:numPr>
        <w:rPr>
          <w:rFonts w:ascii="Verdana" w:hAnsi="Verdana"/>
          <w:color w:val="000000"/>
          <w:sz w:val="18"/>
          <w:szCs w:val="18"/>
          <w:lang w:val="en-GB"/>
        </w:rPr>
      </w:pPr>
      <w:r w:rsidRPr="009A76A4">
        <w:rPr>
          <w:rFonts w:ascii="Verdana" w:hAnsi="Verdana"/>
          <w:color w:val="000000"/>
          <w:sz w:val="18"/>
          <w:szCs w:val="18"/>
          <w:lang w:val="en-GB"/>
        </w:rPr>
        <w:t xml:space="preserve">Various fields as well as the amount of rows and columns are blocked in order to guarantee the uniformity of the HDT architecture which enables to run automated reporting programs. In order to guarantee this uniformity the Secretariat will not provide 'unprotected' HDTs to the </w:t>
      </w:r>
      <w:r w:rsidR="009D736D">
        <w:rPr>
          <w:rFonts w:ascii="Verdana" w:hAnsi="Verdana"/>
          <w:color w:val="000000"/>
          <w:sz w:val="18"/>
          <w:szCs w:val="18"/>
          <w:lang w:val="en-GB"/>
        </w:rPr>
        <w:t>lending institutions</w:t>
      </w:r>
    </w:p>
    <w:p w:rsidR="009A76A4" w:rsidRDefault="009A76A4" w:rsidP="009A76A4">
      <w:pPr>
        <w:pStyle w:val="ListParagraph"/>
        <w:numPr>
          <w:ilvl w:val="0"/>
          <w:numId w:val="8"/>
        </w:numPr>
        <w:rPr>
          <w:rFonts w:ascii="Verdana" w:hAnsi="Verdana"/>
          <w:color w:val="000000"/>
          <w:sz w:val="18"/>
          <w:szCs w:val="18"/>
          <w:lang w:val="en-GB"/>
        </w:rPr>
      </w:pPr>
      <w:r w:rsidRPr="009A76A4">
        <w:rPr>
          <w:rFonts w:ascii="Verdana" w:hAnsi="Verdana"/>
          <w:color w:val="000000"/>
          <w:sz w:val="18"/>
          <w:szCs w:val="18"/>
          <w:lang w:val="en-GB"/>
        </w:rPr>
        <w:t>Since the loan bucket size of the loan size information (Tab. A1. EEM General Mortgage Assets - section 1.10 and 1.15, Tab. B1 EEM Sust. Mortgage Assets section 13) as well as the EPC information (Tab. A1. EEM General Mortgage Assets - section 23; Tab. B1 EEM Sust Mortgage Assets section 23) are decided at national level.</w:t>
      </w:r>
    </w:p>
    <w:p w:rsidR="009A76A4" w:rsidRDefault="009A76A4" w:rsidP="009A76A4">
      <w:pPr>
        <w:pStyle w:val="ListParagraph"/>
        <w:numPr>
          <w:ilvl w:val="0"/>
          <w:numId w:val="8"/>
        </w:numPr>
        <w:rPr>
          <w:rFonts w:ascii="Verdana" w:hAnsi="Verdana"/>
          <w:color w:val="000000"/>
          <w:sz w:val="18"/>
          <w:szCs w:val="18"/>
          <w:lang w:val="en-GB"/>
        </w:rPr>
      </w:pPr>
      <w:r w:rsidRPr="009A76A4">
        <w:rPr>
          <w:rFonts w:ascii="Verdana" w:hAnsi="Verdana"/>
          <w:color w:val="000000"/>
          <w:sz w:val="18"/>
          <w:szCs w:val="18"/>
          <w:lang w:val="en-GB"/>
        </w:rPr>
        <w:t>Since the regional breakdown denomination (Tab. A1 EEM Mortgage Assets - section 1.5., Tab B1 EEM Sust. Mortgage Assets - section 2.5) is decided at national level, please follow the agreed dispositions.</w:t>
      </w:r>
    </w:p>
    <w:p w:rsidR="009A76A4" w:rsidRDefault="009A76A4" w:rsidP="009A76A4">
      <w:pPr>
        <w:pStyle w:val="ListParagraph"/>
        <w:numPr>
          <w:ilvl w:val="0"/>
          <w:numId w:val="8"/>
        </w:numPr>
        <w:rPr>
          <w:rFonts w:ascii="Verdana" w:hAnsi="Verdana"/>
          <w:color w:val="000000"/>
          <w:sz w:val="18"/>
          <w:szCs w:val="18"/>
          <w:lang w:val="en-GB"/>
        </w:rPr>
      </w:pPr>
      <w:r w:rsidRPr="009A76A4">
        <w:rPr>
          <w:rFonts w:ascii="Verdana" w:hAnsi="Verdana"/>
          <w:color w:val="000000"/>
          <w:sz w:val="18"/>
          <w:szCs w:val="18"/>
          <w:lang w:val="en-GB"/>
        </w:rPr>
        <w:t>For any further questions on how to complete the HDT please consult in the following order</w:t>
      </w:r>
      <w:r>
        <w:rPr>
          <w:rFonts w:ascii="Verdana" w:hAnsi="Verdana"/>
          <w:color w:val="000000"/>
          <w:sz w:val="18"/>
          <w:szCs w:val="18"/>
          <w:lang w:val="en-GB"/>
        </w:rPr>
        <w:t>:</w:t>
      </w:r>
    </w:p>
    <w:p w:rsidR="0084381F" w:rsidRDefault="009A76A4" w:rsidP="009A76A4">
      <w:pPr>
        <w:pStyle w:val="ListParagraph"/>
        <w:numPr>
          <w:ilvl w:val="1"/>
          <w:numId w:val="8"/>
        </w:numPr>
        <w:rPr>
          <w:rFonts w:ascii="Verdana" w:hAnsi="Verdana"/>
          <w:color w:val="000000"/>
          <w:sz w:val="18"/>
          <w:szCs w:val="18"/>
          <w:lang w:val="en-GB"/>
        </w:rPr>
      </w:pPr>
      <w:r w:rsidRPr="009A76A4">
        <w:rPr>
          <w:rFonts w:ascii="Verdana" w:hAnsi="Verdana"/>
          <w:color w:val="000000"/>
          <w:sz w:val="18"/>
          <w:szCs w:val="18"/>
          <w:lang w:val="en-GB"/>
        </w:rPr>
        <w:t>the EEM HDT Completion Guideline</w:t>
      </w:r>
    </w:p>
    <w:p w:rsidR="0084381F" w:rsidRDefault="009A76A4" w:rsidP="009A76A4">
      <w:pPr>
        <w:pStyle w:val="ListParagraph"/>
        <w:numPr>
          <w:ilvl w:val="1"/>
          <w:numId w:val="8"/>
        </w:numPr>
        <w:rPr>
          <w:rFonts w:ascii="Verdana" w:hAnsi="Verdana"/>
          <w:color w:val="000000"/>
          <w:sz w:val="18"/>
          <w:szCs w:val="18"/>
          <w:lang w:val="en-GB"/>
        </w:rPr>
      </w:pPr>
      <w:r w:rsidRPr="0084381F">
        <w:rPr>
          <w:rFonts w:ascii="Verdana" w:hAnsi="Verdana"/>
          <w:color w:val="000000"/>
          <w:sz w:val="18"/>
          <w:szCs w:val="18"/>
          <w:lang w:val="en-GB"/>
        </w:rPr>
        <w:t>the relevant National Coordinator</w:t>
      </w:r>
    </w:p>
    <w:p w:rsidR="009A76A4" w:rsidRPr="0084381F" w:rsidRDefault="009A76A4" w:rsidP="005F1201">
      <w:pPr>
        <w:pStyle w:val="ListParagraph"/>
        <w:numPr>
          <w:ilvl w:val="1"/>
          <w:numId w:val="8"/>
        </w:numPr>
        <w:rPr>
          <w:lang w:val="en-GB"/>
        </w:rPr>
      </w:pPr>
      <w:r w:rsidRPr="0084381F">
        <w:rPr>
          <w:rFonts w:ascii="Verdana" w:hAnsi="Verdana"/>
          <w:color w:val="000000"/>
          <w:sz w:val="18"/>
          <w:szCs w:val="18"/>
          <w:lang w:val="en-GB"/>
        </w:rPr>
        <w:t>the EEM Label Secretariat</w:t>
      </w:r>
      <w:r w:rsidRPr="0084381F">
        <w:rPr>
          <w:rFonts w:ascii="Verdana" w:hAnsi="Verdana"/>
          <w:color w:val="000000"/>
          <w:sz w:val="18"/>
          <w:szCs w:val="18"/>
          <w:lang w:val="en-GB"/>
        </w:rPr>
        <w:tab/>
      </w:r>
      <w:r w:rsidRPr="0084381F">
        <w:rPr>
          <w:rFonts w:ascii="Verdana" w:hAnsi="Verdana"/>
          <w:color w:val="000000"/>
          <w:sz w:val="18"/>
          <w:szCs w:val="18"/>
          <w:lang w:val="en-GB"/>
        </w:rPr>
        <w:tab/>
      </w:r>
      <w:r w:rsidRPr="0084381F">
        <w:rPr>
          <w:rFonts w:ascii="Verdana" w:hAnsi="Verdana"/>
          <w:color w:val="000000"/>
          <w:sz w:val="18"/>
          <w:szCs w:val="18"/>
          <w:lang w:val="en-GB"/>
        </w:rPr>
        <w:tab/>
      </w:r>
      <w:r w:rsidRPr="0084381F">
        <w:rPr>
          <w:lang w:val="en-GB"/>
        </w:rPr>
        <w:br w:type="page"/>
      </w:r>
    </w:p>
    <w:p w:rsidR="009A76A4" w:rsidRDefault="009A76A4" w:rsidP="009A76A4">
      <w:pPr>
        <w:pStyle w:val="Heading1"/>
        <w:rPr>
          <w:lang w:val="en-GB"/>
        </w:rPr>
      </w:pPr>
      <w:bookmarkStart w:id="4" w:name="_Toc57805967"/>
      <w:r>
        <w:rPr>
          <w:lang w:val="en-GB"/>
        </w:rPr>
        <w:lastRenderedPageBreak/>
        <w:t>Tab Specific Guidelines</w:t>
      </w:r>
      <w:bookmarkEnd w:id="4"/>
    </w:p>
    <w:p w:rsidR="009A76A4" w:rsidRDefault="009A76A4" w:rsidP="009A76A4">
      <w:pPr>
        <w:spacing w:after="0" w:line="288" w:lineRule="auto"/>
        <w:jc w:val="both"/>
        <w:rPr>
          <w:rFonts w:ascii="Verdana" w:hAnsi="Verdana"/>
          <w:color w:val="000000"/>
          <w:sz w:val="18"/>
          <w:szCs w:val="18"/>
          <w:lang w:val="en-GB"/>
        </w:rPr>
      </w:pPr>
      <w:r>
        <w:rPr>
          <w:rFonts w:ascii="Verdana" w:hAnsi="Verdana"/>
          <w:color w:val="000000"/>
          <w:sz w:val="18"/>
          <w:szCs w:val="18"/>
          <w:lang w:val="en-GB"/>
        </w:rPr>
        <w:t xml:space="preserve">Here you find guidelines for specific locations in the different tabs of the HDT in order to prevent providing misleading information. </w:t>
      </w:r>
    </w:p>
    <w:p w:rsidR="009A76A4" w:rsidRDefault="009A76A4" w:rsidP="009A76A4">
      <w:pPr>
        <w:pStyle w:val="Heading2"/>
        <w:rPr>
          <w:lang w:val="en-GB"/>
        </w:rPr>
      </w:pPr>
      <w:bookmarkStart w:id="5" w:name="_Toc45273890"/>
      <w:bookmarkStart w:id="6" w:name="_Toc57805968"/>
      <w:r>
        <w:rPr>
          <w:lang w:val="en-GB"/>
        </w:rPr>
        <w:t>Introduction</w:t>
      </w:r>
      <w:bookmarkEnd w:id="5"/>
      <w:bookmarkEnd w:id="6"/>
    </w:p>
    <w:p w:rsidR="009A76A4" w:rsidRPr="009C38EB" w:rsidRDefault="009A76A4" w:rsidP="009A76A4">
      <w:pPr>
        <w:pStyle w:val="ListParagraph"/>
        <w:numPr>
          <w:ilvl w:val="0"/>
          <w:numId w:val="3"/>
        </w:numPr>
        <w:rPr>
          <w:rFonts w:ascii="Verdana" w:hAnsi="Verdana"/>
          <w:sz w:val="18"/>
          <w:szCs w:val="18"/>
          <w:lang w:val="en-GB"/>
        </w:rPr>
      </w:pPr>
      <w:r w:rsidRPr="009C38EB">
        <w:rPr>
          <w:rFonts w:ascii="Verdana" w:hAnsi="Verdana"/>
          <w:sz w:val="18"/>
          <w:szCs w:val="18"/>
          <w:lang w:val="en-GB"/>
        </w:rPr>
        <w:t>Reporting Date: date in which the H</w:t>
      </w:r>
      <w:r>
        <w:rPr>
          <w:rFonts w:ascii="Verdana" w:hAnsi="Verdana"/>
          <w:sz w:val="18"/>
          <w:szCs w:val="18"/>
          <w:lang w:val="en-GB"/>
        </w:rPr>
        <w:t>D</w:t>
      </w:r>
      <w:r w:rsidRPr="009C38EB">
        <w:rPr>
          <w:rFonts w:ascii="Verdana" w:hAnsi="Verdana"/>
          <w:sz w:val="18"/>
          <w:szCs w:val="18"/>
          <w:lang w:val="en-GB"/>
        </w:rPr>
        <w:t xml:space="preserve">T has been published </w:t>
      </w:r>
    </w:p>
    <w:p w:rsidR="009A76A4" w:rsidRPr="0084381F" w:rsidRDefault="009A76A4" w:rsidP="009A76A4">
      <w:pPr>
        <w:pStyle w:val="ListParagraph"/>
        <w:numPr>
          <w:ilvl w:val="0"/>
          <w:numId w:val="3"/>
        </w:numPr>
        <w:rPr>
          <w:rFonts w:ascii="Verdana" w:hAnsi="Verdana"/>
          <w:sz w:val="18"/>
          <w:szCs w:val="18"/>
          <w:lang w:val="en-GB"/>
        </w:rPr>
      </w:pPr>
      <w:r w:rsidRPr="009C38EB">
        <w:rPr>
          <w:rFonts w:ascii="Verdana" w:hAnsi="Verdana"/>
          <w:sz w:val="18"/>
          <w:szCs w:val="18"/>
          <w:lang w:val="en-GB"/>
        </w:rPr>
        <w:t>Cut-off Date: date the figures refer to. The last date of a quarter needs to be the last calendar day. For example Friday 29 March 20</w:t>
      </w:r>
      <w:r w:rsidR="004F3D1C">
        <w:rPr>
          <w:rFonts w:ascii="Verdana" w:hAnsi="Verdana"/>
          <w:sz w:val="18"/>
          <w:szCs w:val="18"/>
          <w:lang w:val="en-GB"/>
        </w:rPr>
        <w:t>19</w:t>
      </w:r>
      <w:r w:rsidRPr="009C38EB">
        <w:rPr>
          <w:rFonts w:ascii="Verdana" w:hAnsi="Verdana"/>
          <w:sz w:val="18"/>
          <w:szCs w:val="18"/>
          <w:lang w:val="en-GB"/>
        </w:rPr>
        <w:t xml:space="preserve"> was the last working day of Q1 20</w:t>
      </w:r>
      <w:r w:rsidR="004F3D1C">
        <w:rPr>
          <w:rFonts w:ascii="Verdana" w:hAnsi="Verdana"/>
          <w:sz w:val="18"/>
          <w:szCs w:val="18"/>
          <w:lang w:val="en-GB"/>
        </w:rPr>
        <w:t>19</w:t>
      </w:r>
      <w:r w:rsidRPr="009C38EB">
        <w:rPr>
          <w:rFonts w:ascii="Verdana" w:hAnsi="Verdana"/>
          <w:sz w:val="18"/>
          <w:szCs w:val="18"/>
          <w:lang w:val="en-GB"/>
        </w:rPr>
        <w:t>, but here we would like to see as cut-off date 31 March 20</w:t>
      </w:r>
      <w:r w:rsidR="004F3D1C">
        <w:rPr>
          <w:rFonts w:ascii="Verdana" w:hAnsi="Verdana"/>
          <w:sz w:val="18"/>
          <w:szCs w:val="18"/>
          <w:lang w:val="en-GB"/>
        </w:rPr>
        <w:t>19</w:t>
      </w:r>
      <w:r w:rsidRPr="009C38EB">
        <w:rPr>
          <w:rFonts w:ascii="Verdana" w:hAnsi="Verdana"/>
          <w:sz w:val="18"/>
          <w:szCs w:val="18"/>
          <w:lang w:val="en-GB"/>
        </w:rPr>
        <w:t xml:space="preserve"> even if it falls on a Sunday.</w:t>
      </w:r>
    </w:p>
    <w:p w:rsidR="009A76A4" w:rsidRDefault="00B54BF3" w:rsidP="009A76A4">
      <w:pPr>
        <w:pStyle w:val="Heading2"/>
        <w:rPr>
          <w:lang w:val="en-GB"/>
        </w:rPr>
      </w:pPr>
      <w:bookmarkStart w:id="7" w:name="_Toc57805969"/>
      <w:r>
        <w:rPr>
          <w:lang w:val="en-GB"/>
        </w:rPr>
        <w:t>A</w:t>
      </w:r>
      <w:r w:rsidR="009A76A4">
        <w:rPr>
          <w:lang w:val="en-GB"/>
        </w:rPr>
        <w:t xml:space="preserve">1. </w:t>
      </w:r>
      <w:r>
        <w:rPr>
          <w:lang w:val="en-GB"/>
        </w:rPr>
        <w:t xml:space="preserve">EEM General </w:t>
      </w:r>
      <w:r w:rsidR="009A76A4">
        <w:rPr>
          <w:lang w:val="en-GB"/>
        </w:rPr>
        <w:t>Mortgage Assets</w:t>
      </w:r>
      <w:bookmarkEnd w:id="7"/>
    </w:p>
    <w:p w:rsidR="009A76A4" w:rsidRDefault="00B54BF3" w:rsidP="009A76A4">
      <w:pPr>
        <w:pStyle w:val="Heading3"/>
        <w:rPr>
          <w:lang w:val="en-GB"/>
        </w:rPr>
      </w:pPr>
      <w:bookmarkStart w:id="8" w:name="_Toc45273899"/>
      <w:bookmarkStart w:id="9" w:name="_Toc57805970"/>
      <w:r>
        <w:rPr>
          <w:lang w:val="en-GB"/>
        </w:rPr>
        <w:t>1</w:t>
      </w:r>
      <w:r w:rsidR="009A76A4">
        <w:rPr>
          <w:lang w:val="en-GB"/>
        </w:rPr>
        <w:t>.4. Breakdown by Geography</w:t>
      </w:r>
      <w:bookmarkEnd w:id="8"/>
      <w:bookmarkEnd w:id="9"/>
    </w:p>
    <w:p w:rsidR="009A76A4" w:rsidRPr="009C38EB" w:rsidRDefault="009A76A4" w:rsidP="009A76A4">
      <w:pPr>
        <w:jc w:val="both"/>
        <w:rPr>
          <w:rFonts w:ascii="Verdana" w:hAnsi="Verdana"/>
          <w:sz w:val="18"/>
          <w:szCs w:val="18"/>
          <w:lang w:val="en-GB"/>
        </w:rPr>
      </w:pPr>
      <w:r w:rsidRPr="009C38EB">
        <w:rPr>
          <w:rFonts w:ascii="Verdana" w:hAnsi="Verdana"/>
          <w:sz w:val="18"/>
          <w:szCs w:val="18"/>
          <w:lang w:val="en-GB"/>
        </w:rPr>
        <w:t xml:space="preserve">In this section besides the breakdown by country at the same time also the breakdown between residential and commercial loans is provided. </w:t>
      </w:r>
    </w:p>
    <w:p w:rsidR="009A76A4" w:rsidRPr="009C38EB" w:rsidRDefault="009A76A4" w:rsidP="009A76A4">
      <w:pPr>
        <w:jc w:val="both"/>
        <w:rPr>
          <w:rFonts w:ascii="Verdana" w:hAnsi="Verdana"/>
          <w:sz w:val="18"/>
          <w:szCs w:val="18"/>
          <w:lang w:val="en-GB"/>
        </w:rPr>
      </w:pPr>
      <w:r w:rsidRPr="009C38EB">
        <w:rPr>
          <w:rFonts w:ascii="Verdana" w:hAnsi="Verdana"/>
          <w:sz w:val="18"/>
          <w:szCs w:val="18"/>
          <w:lang w:val="en-GB"/>
        </w:rPr>
        <w:t>TWO POSSIBLE APPROACHES can be used:</w:t>
      </w:r>
    </w:p>
    <w:p w:rsidR="009A76A4" w:rsidRPr="009C38EB" w:rsidRDefault="009A76A4" w:rsidP="009A76A4">
      <w:pPr>
        <w:jc w:val="both"/>
        <w:rPr>
          <w:rFonts w:ascii="Verdana" w:hAnsi="Verdana"/>
          <w:sz w:val="18"/>
          <w:szCs w:val="18"/>
          <w:lang w:val="en-GB"/>
        </w:rPr>
      </w:pPr>
      <w:r w:rsidRPr="009C38EB">
        <w:rPr>
          <w:rFonts w:ascii="Verdana" w:hAnsi="Verdana"/>
          <w:sz w:val="18"/>
          <w:szCs w:val="18"/>
          <w:lang w:val="en-GB"/>
        </w:rPr>
        <w:t xml:space="preserve">Approach A: </w:t>
      </w:r>
    </w:p>
    <w:p w:rsidR="009A76A4" w:rsidRPr="009C38EB" w:rsidRDefault="009A76A4" w:rsidP="009A76A4">
      <w:pPr>
        <w:jc w:val="both"/>
        <w:rPr>
          <w:rFonts w:ascii="Verdana" w:hAnsi="Verdana"/>
          <w:sz w:val="18"/>
          <w:szCs w:val="18"/>
          <w:lang w:val="en-GB"/>
        </w:rPr>
      </w:pPr>
      <w:bookmarkStart w:id="10" w:name="_Hlk5715685"/>
      <w:r w:rsidRPr="009C38EB">
        <w:rPr>
          <w:rFonts w:ascii="Verdana" w:hAnsi="Verdana"/>
          <w:sz w:val="18"/>
          <w:szCs w:val="18"/>
          <w:lang w:val="en-GB"/>
        </w:rPr>
        <w:t>The breakdown is provided separately for residential loans and commercial loans, thus reaching 100% in both columns.</w:t>
      </w:r>
    </w:p>
    <w:bookmarkEnd w:id="10"/>
    <w:p w:rsidR="009A76A4" w:rsidRPr="009C38EB" w:rsidRDefault="009A76A4" w:rsidP="009A76A4">
      <w:pPr>
        <w:jc w:val="both"/>
        <w:rPr>
          <w:rFonts w:ascii="Verdana" w:hAnsi="Verdana"/>
          <w:sz w:val="18"/>
          <w:szCs w:val="18"/>
          <w:lang w:val="en-GB"/>
        </w:rPr>
      </w:pPr>
      <w:r w:rsidRPr="009C38EB">
        <w:rPr>
          <w:rFonts w:ascii="Verdana" w:hAnsi="Verdana"/>
          <w:sz w:val="18"/>
          <w:szCs w:val="18"/>
          <w:lang w:val="en-GB"/>
        </w:rPr>
        <w:t>Approach B:</w:t>
      </w:r>
    </w:p>
    <w:p w:rsidR="009A76A4" w:rsidRPr="009C38EB" w:rsidRDefault="009A76A4" w:rsidP="009A76A4">
      <w:pPr>
        <w:jc w:val="both"/>
        <w:rPr>
          <w:rFonts w:ascii="Verdana" w:hAnsi="Verdana"/>
          <w:sz w:val="18"/>
          <w:szCs w:val="18"/>
          <w:lang w:val="en-GB"/>
        </w:rPr>
      </w:pPr>
      <w:bookmarkStart w:id="11" w:name="_Hlk5715699"/>
      <w:r w:rsidRPr="009C38EB">
        <w:rPr>
          <w:rFonts w:ascii="Verdana" w:hAnsi="Verdana"/>
          <w:sz w:val="18"/>
          <w:szCs w:val="18"/>
          <w:lang w:val="en-GB"/>
        </w:rPr>
        <w:t>The breakdown is provided for both types of loans together, thus 100% is reached by adding the breakdowns in both columns.</w:t>
      </w:r>
    </w:p>
    <w:p w:rsidR="009A76A4" w:rsidRDefault="00B54BF3" w:rsidP="009A76A4">
      <w:pPr>
        <w:pStyle w:val="Heading3"/>
        <w:jc w:val="both"/>
        <w:rPr>
          <w:lang w:val="en-GB"/>
        </w:rPr>
      </w:pPr>
      <w:bookmarkStart w:id="12" w:name="_Toc45273900"/>
      <w:bookmarkStart w:id="13" w:name="_Toc57805971"/>
      <w:bookmarkEnd w:id="11"/>
      <w:r>
        <w:rPr>
          <w:lang w:val="en-GB"/>
        </w:rPr>
        <w:t>1</w:t>
      </w:r>
      <w:r w:rsidR="009A76A4">
        <w:rPr>
          <w:lang w:val="en-GB"/>
        </w:rPr>
        <w:t>.5. Breakdown by regions of main country of origin</w:t>
      </w:r>
      <w:bookmarkEnd w:id="12"/>
      <w:bookmarkEnd w:id="13"/>
    </w:p>
    <w:p w:rsidR="009A76A4" w:rsidRPr="009C38EB" w:rsidRDefault="009A76A4" w:rsidP="009A76A4">
      <w:pPr>
        <w:jc w:val="both"/>
        <w:rPr>
          <w:rFonts w:ascii="Verdana" w:hAnsi="Verdana"/>
          <w:sz w:val="18"/>
          <w:szCs w:val="18"/>
          <w:lang w:val="en-GB"/>
        </w:rPr>
        <w:sectPr w:rsidR="009A76A4" w:rsidRPr="009C38EB">
          <w:headerReference w:type="default" r:id="rId8"/>
          <w:pgSz w:w="11906" w:h="16838"/>
          <w:pgMar w:top="1440" w:right="1440" w:bottom="1440" w:left="1440" w:header="708" w:footer="708" w:gutter="0"/>
          <w:cols w:space="708"/>
          <w:docGrid w:linePitch="360"/>
        </w:sectPr>
      </w:pPr>
      <w:r w:rsidRPr="009C38EB">
        <w:rPr>
          <w:rFonts w:ascii="Verdana" w:hAnsi="Verdana"/>
          <w:sz w:val="18"/>
          <w:szCs w:val="18"/>
          <w:lang w:val="en-GB"/>
        </w:rPr>
        <w:t xml:space="preserve">In order to provide a more consistent comparison of the </w:t>
      </w:r>
      <w:r w:rsidR="00B54BF3">
        <w:rPr>
          <w:rFonts w:ascii="Verdana" w:hAnsi="Verdana"/>
          <w:sz w:val="18"/>
          <w:szCs w:val="18"/>
          <w:lang w:val="en-GB"/>
        </w:rPr>
        <w:t>location of the mortg</w:t>
      </w:r>
      <w:r w:rsidR="009D736D">
        <w:rPr>
          <w:rFonts w:ascii="Verdana" w:hAnsi="Verdana"/>
          <w:sz w:val="18"/>
          <w:szCs w:val="18"/>
          <w:lang w:val="en-GB"/>
        </w:rPr>
        <w:t>a</w:t>
      </w:r>
      <w:r w:rsidR="00B54BF3">
        <w:rPr>
          <w:rFonts w:ascii="Verdana" w:hAnsi="Verdana"/>
          <w:sz w:val="18"/>
          <w:szCs w:val="18"/>
          <w:lang w:val="en-GB"/>
        </w:rPr>
        <w:t>ge assets</w:t>
      </w:r>
      <w:r w:rsidRPr="009C38EB">
        <w:rPr>
          <w:rFonts w:ascii="Verdana" w:hAnsi="Verdana"/>
          <w:sz w:val="18"/>
          <w:szCs w:val="18"/>
          <w:lang w:val="en-GB"/>
        </w:rPr>
        <w:t xml:space="preserve"> of the same jurisdictions,</w:t>
      </w:r>
      <w:r w:rsidR="00B54BF3">
        <w:rPr>
          <w:rFonts w:ascii="Verdana" w:hAnsi="Verdana"/>
          <w:sz w:val="18"/>
          <w:szCs w:val="18"/>
          <w:lang w:val="en-GB"/>
        </w:rPr>
        <w:t xml:space="preserve"> the EEM Label </w:t>
      </w:r>
      <w:r w:rsidRPr="009C38EB">
        <w:rPr>
          <w:rFonts w:ascii="Verdana" w:hAnsi="Verdana"/>
          <w:sz w:val="18"/>
          <w:szCs w:val="18"/>
          <w:lang w:val="en-GB"/>
        </w:rPr>
        <w:t xml:space="preserve">presents the list of regions </w:t>
      </w:r>
      <w:r w:rsidR="00B54BF3">
        <w:rPr>
          <w:rFonts w:ascii="Verdana" w:hAnsi="Verdana"/>
          <w:sz w:val="18"/>
          <w:szCs w:val="18"/>
          <w:lang w:val="en-GB"/>
        </w:rPr>
        <w:t>to be used for report</w:t>
      </w:r>
      <w:r w:rsidRPr="009C38EB">
        <w:rPr>
          <w:rFonts w:ascii="Verdana" w:hAnsi="Verdana"/>
          <w:sz w:val="18"/>
          <w:szCs w:val="18"/>
          <w:lang w:val="en-GB"/>
        </w:rPr>
        <w:t xml:space="preserve">. </w:t>
      </w:r>
      <w:r w:rsidR="00B54BF3">
        <w:rPr>
          <w:rFonts w:ascii="Verdana" w:hAnsi="Verdana"/>
          <w:sz w:val="18"/>
          <w:szCs w:val="18"/>
          <w:lang w:val="en-GB"/>
        </w:rPr>
        <w:t>The list here below has been taken on from the jurisdictions using HTT of the Covered Bond Label:</w:t>
      </w:r>
    </w:p>
    <w:p w:rsidR="009A76A4" w:rsidRPr="009C38EB" w:rsidRDefault="009A76A4" w:rsidP="009A76A4">
      <w:pPr>
        <w:pStyle w:val="ListParagraph"/>
        <w:numPr>
          <w:ilvl w:val="0"/>
          <w:numId w:val="5"/>
        </w:numPr>
        <w:rPr>
          <w:rFonts w:ascii="Verdana" w:hAnsi="Verdana"/>
          <w:sz w:val="18"/>
          <w:szCs w:val="18"/>
          <w:lang w:val="en-GB"/>
        </w:rPr>
      </w:pPr>
      <w:r w:rsidRPr="009C38EB">
        <w:rPr>
          <w:rFonts w:ascii="Verdana" w:hAnsi="Verdana"/>
          <w:sz w:val="18"/>
          <w:szCs w:val="18"/>
          <w:lang w:val="en-GB"/>
        </w:rPr>
        <w:t>Austria:</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Wien</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Niederösterreich</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Oberösterreich</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Salzburg</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Tirol</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Steiermark</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Kärnten</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Burgenland</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Vorarlberg</w:t>
      </w:r>
    </w:p>
    <w:p w:rsidR="009A76A4" w:rsidRPr="009C38EB" w:rsidRDefault="009A76A4" w:rsidP="009A76A4">
      <w:pPr>
        <w:pStyle w:val="ListParagraph"/>
        <w:numPr>
          <w:ilvl w:val="0"/>
          <w:numId w:val="5"/>
        </w:numPr>
        <w:rPr>
          <w:rFonts w:ascii="Verdana" w:hAnsi="Verdana"/>
          <w:sz w:val="18"/>
          <w:szCs w:val="18"/>
          <w:lang w:val="en-GB"/>
        </w:rPr>
      </w:pPr>
      <w:r w:rsidRPr="009C38EB">
        <w:rPr>
          <w:rFonts w:ascii="Verdana" w:hAnsi="Verdana"/>
          <w:sz w:val="18"/>
          <w:szCs w:val="18"/>
          <w:lang w:val="en-GB"/>
        </w:rPr>
        <w:t>Belgium:</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Antwerpen</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Vlaams-Brabant</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Oost-Vlaanderen</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Brussels</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West-Vlaanderen</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Limburg</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Liège</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Hainaut</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Brabant Wallon</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Namur</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Luxembourg</w:t>
      </w:r>
    </w:p>
    <w:p w:rsidR="009A76A4" w:rsidRPr="009C38EB" w:rsidRDefault="009A76A4" w:rsidP="009A76A4">
      <w:pPr>
        <w:pStyle w:val="ListParagraph"/>
        <w:numPr>
          <w:ilvl w:val="0"/>
          <w:numId w:val="5"/>
        </w:numPr>
        <w:rPr>
          <w:rFonts w:ascii="Verdana" w:hAnsi="Verdana"/>
          <w:sz w:val="18"/>
          <w:szCs w:val="18"/>
          <w:lang w:val="en-GB"/>
        </w:rPr>
      </w:pPr>
      <w:r w:rsidRPr="009C38EB">
        <w:rPr>
          <w:rFonts w:ascii="Verdana" w:hAnsi="Verdana"/>
          <w:sz w:val="18"/>
          <w:szCs w:val="18"/>
          <w:lang w:val="en-GB"/>
        </w:rPr>
        <w:t>Canada:</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Alberta</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British Columbia</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Manitoba</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New Brunswick</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Newfoundland and Labrador</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Northwest Territories</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Nova Scotia</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Nunavut</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Ontario</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Prince Edward Island</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Quebec</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Saskatchewan</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Yukon</w:t>
      </w:r>
    </w:p>
    <w:p w:rsidR="009A76A4" w:rsidRPr="009C38EB" w:rsidRDefault="009A76A4" w:rsidP="009A76A4">
      <w:pPr>
        <w:pStyle w:val="ListParagraph"/>
        <w:numPr>
          <w:ilvl w:val="0"/>
          <w:numId w:val="5"/>
        </w:numPr>
        <w:rPr>
          <w:rFonts w:ascii="Verdana" w:hAnsi="Verdana"/>
          <w:sz w:val="18"/>
          <w:szCs w:val="18"/>
          <w:lang w:val="en-GB"/>
        </w:rPr>
      </w:pPr>
      <w:r w:rsidRPr="009C38EB">
        <w:rPr>
          <w:rFonts w:ascii="Verdana" w:hAnsi="Verdana"/>
          <w:sz w:val="18"/>
          <w:szCs w:val="18"/>
          <w:lang w:val="en-GB"/>
        </w:rPr>
        <w:t>Denmark:</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Hovedstaden</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Sjælland</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Syddanmark</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Midtjylland</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Nordjylland</w:t>
      </w:r>
    </w:p>
    <w:p w:rsidR="009A76A4" w:rsidRPr="009C38EB" w:rsidRDefault="009A76A4" w:rsidP="009A76A4">
      <w:pPr>
        <w:pStyle w:val="ListParagraph"/>
        <w:numPr>
          <w:ilvl w:val="0"/>
          <w:numId w:val="5"/>
        </w:numPr>
        <w:rPr>
          <w:rFonts w:ascii="Verdana" w:hAnsi="Verdana"/>
          <w:sz w:val="18"/>
          <w:szCs w:val="18"/>
          <w:lang w:val="en-GB"/>
        </w:rPr>
      </w:pPr>
      <w:r w:rsidRPr="009C38EB">
        <w:rPr>
          <w:rFonts w:ascii="Verdana" w:hAnsi="Verdana"/>
          <w:sz w:val="18"/>
          <w:szCs w:val="18"/>
          <w:lang w:val="en-BE"/>
        </w:rPr>
        <w:lastRenderedPageBreak/>
        <w:t xml:space="preserve">Estonia: </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BE"/>
        </w:rPr>
        <w:t>Tallin</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BE"/>
        </w:rPr>
        <w:t>Other Estonia</w:t>
      </w:r>
    </w:p>
    <w:p w:rsidR="009A76A4" w:rsidRPr="009C38EB" w:rsidRDefault="009A76A4" w:rsidP="009A76A4">
      <w:pPr>
        <w:pStyle w:val="ListParagraph"/>
        <w:numPr>
          <w:ilvl w:val="0"/>
          <w:numId w:val="5"/>
        </w:numPr>
        <w:rPr>
          <w:rFonts w:ascii="Verdana" w:hAnsi="Verdana"/>
          <w:sz w:val="18"/>
          <w:szCs w:val="18"/>
          <w:lang w:val="en-GB"/>
        </w:rPr>
      </w:pPr>
      <w:r w:rsidRPr="009C38EB">
        <w:rPr>
          <w:rFonts w:ascii="Verdana" w:hAnsi="Verdana"/>
          <w:sz w:val="18"/>
          <w:szCs w:val="18"/>
          <w:lang w:val="en-GB"/>
        </w:rPr>
        <w:t>Finland:</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Aland Islands</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Central Finland</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Central Ostrobothnia</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Etela-Savo</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Kainuu</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Kanta-Hame</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Kymenlaakso</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Lapland</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North Karelia</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North Ostrobothnia</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Ostrobothnia</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Paijat-Hame</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Pirkanmaa</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Pohjois-Savo</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Satakunta</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South Karelia</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South Ostrobothnia</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Uusimaa</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Varsinais-Suomi</w:t>
      </w:r>
    </w:p>
    <w:p w:rsidR="009A76A4" w:rsidRPr="009C38EB" w:rsidRDefault="009A76A4" w:rsidP="009A76A4">
      <w:pPr>
        <w:pStyle w:val="ListParagraph"/>
        <w:numPr>
          <w:ilvl w:val="0"/>
          <w:numId w:val="5"/>
        </w:numPr>
        <w:rPr>
          <w:rFonts w:ascii="Verdana" w:hAnsi="Verdana"/>
          <w:sz w:val="18"/>
          <w:szCs w:val="18"/>
          <w:lang w:val="en-GB"/>
        </w:rPr>
      </w:pPr>
      <w:r w:rsidRPr="009C38EB">
        <w:rPr>
          <w:rFonts w:ascii="Verdana" w:hAnsi="Verdana"/>
          <w:sz w:val="18"/>
          <w:szCs w:val="18"/>
          <w:lang w:val="en-GB"/>
        </w:rPr>
        <w:t>France:</w:t>
      </w:r>
    </w:p>
    <w:p w:rsidR="009A76A4" w:rsidRPr="009C38EB" w:rsidRDefault="009A76A4" w:rsidP="009A76A4">
      <w:pPr>
        <w:pStyle w:val="ListParagraph"/>
        <w:numPr>
          <w:ilvl w:val="1"/>
          <w:numId w:val="5"/>
        </w:numPr>
        <w:rPr>
          <w:rFonts w:ascii="Verdana" w:hAnsi="Verdana"/>
          <w:sz w:val="18"/>
          <w:szCs w:val="18"/>
          <w:lang w:val="en-GB"/>
        </w:rPr>
      </w:pPr>
      <w:bookmarkStart w:id="14" w:name="_Hlk8724700"/>
      <w:r w:rsidRPr="009C38EB">
        <w:rPr>
          <w:rFonts w:ascii="Verdana" w:hAnsi="Verdana"/>
          <w:sz w:val="18"/>
          <w:szCs w:val="18"/>
          <w:lang w:val="en-GB"/>
        </w:rPr>
        <w:t>Auvergne-Rhône-Alpes</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Bourgogne-Franche-Comté</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Bretagne</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Centre-Val-de-Loire</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Grand-Est</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Corse</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Outremer</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Occitanie</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Normandie</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Ile-de-France</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Nouvelle-Aquitaine</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Hauts-de-France</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Pays-de-la-Loire</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Provence-Alpes-Côte-d'Azur</w:t>
      </w:r>
    </w:p>
    <w:bookmarkEnd w:id="14"/>
    <w:p w:rsidR="009A76A4" w:rsidRPr="009C38EB" w:rsidRDefault="009A76A4" w:rsidP="009A76A4">
      <w:pPr>
        <w:pStyle w:val="ListParagraph"/>
        <w:numPr>
          <w:ilvl w:val="0"/>
          <w:numId w:val="5"/>
        </w:numPr>
        <w:rPr>
          <w:rFonts w:ascii="Verdana" w:hAnsi="Verdana"/>
          <w:sz w:val="18"/>
          <w:szCs w:val="18"/>
          <w:lang w:val="en-GB"/>
        </w:rPr>
      </w:pPr>
      <w:r w:rsidRPr="009C38EB">
        <w:rPr>
          <w:rFonts w:ascii="Verdana" w:hAnsi="Verdana"/>
          <w:sz w:val="18"/>
          <w:szCs w:val="18"/>
          <w:lang w:val="en-GB"/>
        </w:rPr>
        <w:t>Germany:</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Baden-Württemberg</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Bavaria</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Berlin</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Brandenburg</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Bremen</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Hamburg</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Hesse</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Mecklenburg-Western Pomerania</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Lower Saxony</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North Rhine-Westphalia</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Rhineland-Palatinate</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Saarland</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Saxony</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Saxony-Anhalt</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Schleswig-Holstein</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Thuringia</w:t>
      </w:r>
    </w:p>
    <w:p w:rsidR="009A76A4" w:rsidRPr="009C38EB" w:rsidRDefault="009A76A4" w:rsidP="009A76A4">
      <w:pPr>
        <w:pStyle w:val="ListParagraph"/>
        <w:numPr>
          <w:ilvl w:val="0"/>
          <w:numId w:val="5"/>
        </w:numPr>
        <w:rPr>
          <w:rFonts w:ascii="Verdana" w:hAnsi="Verdana"/>
          <w:sz w:val="18"/>
          <w:szCs w:val="18"/>
          <w:lang w:val="en-GB"/>
        </w:rPr>
      </w:pPr>
      <w:r w:rsidRPr="009C38EB">
        <w:rPr>
          <w:rFonts w:ascii="Verdana" w:hAnsi="Verdana"/>
          <w:sz w:val="18"/>
          <w:szCs w:val="18"/>
          <w:lang w:val="en-GB"/>
        </w:rPr>
        <w:t>Greece:</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 xml:space="preserve">Aegean Islands    </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 xml:space="preserve">Attica    </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 xml:space="preserve">Central Greece    </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 xml:space="preserve">Creta </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 xml:space="preserve">Epirus    </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 xml:space="preserve">Ionian Islands    </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 xml:space="preserve">Macedonia </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 xml:space="preserve">Peloponnese   </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 xml:space="preserve">Thessaloniki  </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 xml:space="preserve">Thessaly  </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 xml:space="preserve">Thrace </w:t>
      </w:r>
    </w:p>
    <w:p w:rsidR="009A76A4" w:rsidRPr="009C38EB" w:rsidRDefault="009A76A4" w:rsidP="009A76A4">
      <w:pPr>
        <w:pStyle w:val="ListParagraph"/>
        <w:numPr>
          <w:ilvl w:val="0"/>
          <w:numId w:val="5"/>
        </w:numPr>
        <w:rPr>
          <w:rFonts w:ascii="Verdana" w:hAnsi="Verdana"/>
          <w:sz w:val="18"/>
          <w:szCs w:val="18"/>
          <w:lang w:val="en-GB"/>
        </w:rPr>
      </w:pPr>
      <w:r w:rsidRPr="009C38EB">
        <w:rPr>
          <w:rFonts w:ascii="Verdana" w:hAnsi="Verdana"/>
          <w:sz w:val="18"/>
          <w:szCs w:val="18"/>
          <w:lang w:val="en-GB"/>
        </w:rPr>
        <w:t>Ireland:</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Carlow</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Cavan</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Clare</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Cork</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Donegal</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Dublin</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Galway</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Kerry</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Kildare</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Kilkenny</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Laois</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Leitrim</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Limerick</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Longford</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Louth</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Mayo</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Meath</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Monaghan</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Offaly</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Roscommon</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Sligo</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Tipperary</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Waterford</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Westmeath</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Wexford</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Wicklow</w:t>
      </w:r>
    </w:p>
    <w:p w:rsidR="009A76A4" w:rsidRPr="009C38EB" w:rsidRDefault="009A76A4" w:rsidP="009A76A4">
      <w:pPr>
        <w:pStyle w:val="ListParagraph"/>
        <w:numPr>
          <w:ilvl w:val="0"/>
          <w:numId w:val="5"/>
        </w:numPr>
        <w:rPr>
          <w:rFonts w:ascii="Verdana" w:hAnsi="Verdana"/>
          <w:sz w:val="18"/>
          <w:szCs w:val="18"/>
          <w:lang w:val="en-GB"/>
        </w:rPr>
      </w:pPr>
      <w:r w:rsidRPr="009C38EB">
        <w:rPr>
          <w:rFonts w:ascii="Verdana" w:hAnsi="Verdana"/>
          <w:sz w:val="18"/>
          <w:szCs w:val="18"/>
          <w:lang w:val="en-GB"/>
        </w:rPr>
        <w:t>Italy:</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Abruzzo</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Basilicata</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Calabria</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Campania</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Emilia Romagna</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Friuli Venezia Giulia</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Lazio</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Liguria</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Lombardia</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Marche</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Molise</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Piemonte</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lastRenderedPageBreak/>
        <w:t>Puglia</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Sardegna</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Sicilia</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Toscana</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Trentino Alto Adige</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Umbria</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Valle d'Aosta</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Veneto</w:t>
      </w:r>
    </w:p>
    <w:p w:rsidR="009A76A4" w:rsidRPr="009C38EB" w:rsidRDefault="009A76A4" w:rsidP="009A76A4">
      <w:pPr>
        <w:pStyle w:val="ListParagraph"/>
        <w:numPr>
          <w:ilvl w:val="0"/>
          <w:numId w:val="5"/>
        </w:numPr>
        <w:rPr>
          <w:rFonts w:ascii="Verdana" w:hAnsi="Verdana"/>
          <w:sz w:val="18"/>
          <w:szCs w:val="18"/>
          <w:lang w:val="en-GB"/>
        </w:rPr>
      </w:pPr>
      <w:r w:rsidRPr="009C38EB">
        <w:rPr>
          <w:rFonts w:ascii="Verdana" w:hAnsi="Verdana"/>
          <w:sz w:val="18"/>
          <w:szCs w:val="18"/>
          <w:lang w:val="en-GB"/>
        </w:rPr>
        <w:t>Netherlands:</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Brabant</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Drenthe</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Flevoland</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Friesland</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Gelderland</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Groningen</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Limburg</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Noord-Holland</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Overijssel</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Utrecht</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Zeeland</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Zuid-Holland</w:t>
      </w:r>
    </w:p>
    <w:p w:rsidR="009A76A4" w:rsidRPr="009C38EB" w:rsidRDefault="009A76A4" w:rsidP="009A76A4">
      <w:pPr>
        <w:pStyle w:val="ListParagraph"/>
        <w:numPr>
          <w:ilvl w:val="0"/>
          <w:numId w:val="5"/>
        </w:numPr>
        <w:rPr>
          <w:rFonts w:ascii="Verdana" w:hAnsi="Verdana"/>
          <w:sz w:val="18"/>
          <w:szCs w:val="18"/>
          <w:lang w:val="en-GB"/>
        </w:rPr>
      </w:pPr>
      <w:r w:rsidRPr="009C38EB">
        <w:rPr>
          <w:rFonts w:ascii="Verdana" w:hAnsi="Verdana"/>
          <w:sz w:val="18"/>
          <w:szCs w:val="18"/>
          <w:lang w:val="en-GB"/>
        </w:rPr>
        <w:t>Norway:</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Akershus</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Aust-Agder</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Buskerud</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Finmark</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Hedmark</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Hordaland</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Møre og Romsdal</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Nordland</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Oppland</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Oslo</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Østfold</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Rogaland</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Sogn og Fjordane</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Svalbard</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Telemark</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Troms</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Trøndelag</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Vest-Agder</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Vestfold</w:t>
      </w:r>
    </w:p>
    <w:p w:rsidR="009A76A4" w:rsidRPr="009C38EB" w:rsidRDefault="009A76A4" w:rsidP="009A76A4">
      <w:pPr>
        <w:pStyle w:val="ListParagraph"/>
        <w:numPr>
          <w:ilvl w:val="0"/>
          <w:numId w:val="5"/>
        </w:numPr>
        <w:rPr>
          <w:rFonts w:ascii="Verdana" w:hAnsi="Verdana"/>
          <w:sz w:val="18"/>
          <w:szCs w:val="18"/>
          <w:lang w:val="en-GB"/>
        </w:rPr>
      </w:pPr>
      <w:r w:rsidRPr="009C38EB">
        <w:rPr>
          <w:rFonts w:ascii="Verdana" w:hAnsi="Verdana"/>
          <w:sz w:val="18"/>
          <w:szCs w:val="18"/>
          <w:lang w:val="en-GB"/>
        </w:rPr>
        <w:t>Poland:</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Dolnośląskie</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Kujawsko-Pomorskie</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Lubelskie</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Lubuskie</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Łódzkie</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Małopolskie</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Mazowieckie</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Opolskie</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Podkarpackie</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Podlaskie</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Pomorskie</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Śląskie</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Świętokrzyskie</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Warmińsko-Mazurskie</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Wielkopolskie</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Zachodniopomorskie</w:t>
      </w:r>
    </w:p>
    <w:p w:rsidR="009A76A4" w:rsidRPr="009C38EB" w:rsidRDefault="009A76A4" w:rsidP="009A76A4">
      <w:pPr>
        <w:pStyle w:val="ListParagraph"/>
        <w:numPr>
          <w:ilvl w:val="0"/>
          <w:numId w:val="5"/>
        </w:numPr>
        <w:rPr>
          <w:rFonts w:ascii="Verdana" w:hAnsi="Verdana"/>
          <w:sz w:val="18"/>
          <w:szCs w:val="18"/>
          <w:lang w:val="en-GB"/>
        </w:rPr>
      </w:pPr>
      <w:r w:rsidRPr="009C38EB">
        <w:rPr>
          <w:rFonts w:ascii="Verdana" w:hAnsi="Verdana"/>
          <w:sz w:val="18"/>
          <w:szCs w:val="18"/>
          <w:lang w:val="en-GB"/>
        </w:rPr>
        <w:t>Portugal:</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North</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Center</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Lisbon</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 xml:space="preserve">Alentejo </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Algarve</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Madeira</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Azores</w:t>
      </w:r>
    </w:p>
    <w:p w:rsidR="009A76A4" w:rsidRPr="009C38EB" w:rsidRDefault="009A76A4" w:rsidP="009A76A4">
      <w:pPr>
        <w:pStyle w:val="ListParagraph"/>
        <w:numPr>
          <w:ilvl w:val="0"/>
          <w:numId w:val="5"/>
        </w:numPr>
        <w:rPr>
          <w:rFonts w:ascii="Verdana" w:hAnsi="Verdana"/>
          <w:sz w:val="18"/>
          <w:szCs w:val="18"/>
          <w:lang w:val="en-GB"/>
        </w:rPr>
      </w:pPr>
      <w:r w:rsidRPr="009C38EB">
        <w:rPr>
          <w:rFonts w:ascii="Verdana" w:hAnsi="Verdana"/>
          <w:sz w:val="18"/>
          <w:szCs w:val="18"/>
          <w:lang w:val="en-GB"/>
        </w:rPr>
        <w:t>Republic of Korea (South):</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Busan</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North Chungcheong</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South Chungcheong</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Daejeon</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Daegu</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Gangwon</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Gwangju</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Gyeonggi</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North Gyeongsang</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South Gyeongsang</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Incheon</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Jeju</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North Jeolla</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South Jeolla</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Sejong</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Seoul</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Ulsan</w:t>
      </w:r>
    </w:p>
    <w:p w:rsidR="009A76A4" w:rsidRPr="009C38EB" w:rsidRDefault="009A76A4" w:rsidP="009A76A4">
      <w:pPr>
        <w:pStyle w:val="ListParagraph"/>
        <w:numPr>
          <w:ilvl w:val="0"/>
          <w:numId w:val="5"/>
        </w:numPr>
        <w:rPr>
          <w:rFonts w:ascii="Verdana" w:hAnsi="Verdana"/>
          <w:sz w:val="18"/>
          <w:szCs w:val="18"/>
          <w:lang w:val="en-GB"/>
        </w:rPr>
      </w:pPr>
      <w:r w:rsidRPr="009C38EB">
        <w:rPr>
          <w:rFonts w:ascii="Verdana" w:hAnsi="Verdana"/>
          <w:sz w:val="18"/>
          <w:szCs w:val="18"/>
          <w:lang w:val="en-GB"/>
        </w:rPr>
        <w:t>Singapore:</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Core Central Region (CCR)</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Rest of Central Region (RCR)</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Outside Central Region (OCR)</w:t>
      </w:r>
    </w:p>
    <w:p w:rsidR="009A76A4" w:rsidRPr="009C38EB" w:rsidRDefault="009A76A4" w:rsidP="009A76A4">
      <w:pPr>
        <w:pStyle w:val="ListParagraph"/>
        <w:numPr>
          <w:ilvl w:val="0"/>
          <w:numId w:val="5"/>
        </w:numPr>
        <w:rPr>
          <w:rFonts w:ascii="Verdana" w:hAnsi="Verdana"/>
          <w:sz w:val="18"/>
          <w:szCs w:val="18"/>
          <w:lang w:val="en-GB"/>
        </w:rPr>
      </w:pPr>
      <w:r w:rsidRPr="009C38EB">
        <w:rPr>
          <w:rFonts w:ascii="Verdana" w:hAnsi="Verdana"/>
          <w:sz w:val="18"/>
          <w:szCs w:val="18"/>
          <w:lang w:val="en-BE"/>
        </w:rPr>
        <w:t>Slovakia:</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Bratislavský kraj</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Trnavský kraj</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Nitrianský kraj</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Trenčianský kraj</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Žilinský kraj</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Banskobystrický kraj</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Košický kraj</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Prešovský kraj</w:t>
      </w:r>
    </w:p>
    <w:p w:rsidR="009A76A4" w:rsidRPr="009C38EB" w:rsidRDefault="009A76A4" w:rsidP="009A76A4">
      <w:pPr>
        <w:pStyle w:val="ListParagraph"/>
        <w:numPr>
          <w:ilvl w:val="0"/>
          <w:numId w:val="5"/>
        </w:numPr>
        <w:rPr>
          <w:rFonts w:ascii="Verdana" w:hAnsi="Verdana"/>
          <w:sz w:val="18"/>
          <w:szCs w:val="18"/>
          <w:lang w:val="en-GB"/>
        </w:rPr>
      </w:pPr>
      <w:r w:rsidRPr="009C38EB">
        <w:rPr>
          <w:rFonts w:ascii="Verdana" w:hAnsi="Verdana"/>
          <w:sz w:val="18"/>
          <w:szCs w:val="18"/>
          <w:lang w:val="en-GB"/>
        </w:rPr>
        <w:t>Spain:</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Andalusia</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Aragon</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Asturias</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Balearic Islands</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Basque Country</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Canary Islands</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Cantabria</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Castile La Mancha</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Castile León</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Catalonia</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lastRenderedPageBreak/>
        <w:t>Ceuta</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Extremadura</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Galicia</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La Rioja</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Madrid</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Melilla</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Murcia</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Navarra</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Valencia</w:t>
      </w:r>
    </w:p>
    <w:p w:rsidR="009A76A4" w:rsidRPr="009C38EB" w:rsidRDefault="009A76A4" w:rsidP="009A76A4">
      <w:pPr>
        <w:pStyle w:val="ListParagraph"/>
        <w:numPr>
          <w:ilvl w:val="0"/>
          <w:numId w:val="5"/>
        </w:numPr>
        <w:rPr>
          <w:rFonts w:ascii="Verdana" w:hAnsi="Verdana"/>
          <w:sz w:val="18"/>
          <w:szCs w:val="18"/>
          <w:lang w:val="en-GB"/>
        </w:rPr>
      </w:pPr>
      <w:r w:rsidRPr="009C38EB">
        <w:rPr>
          <w:rFonts w:ascii="Verdana" w:hAnsi="Verdana"/>
          <w:sz w:val="18"/>
          <w:szCs w:val="18"/>
          <w:lang w:val="en-GB"/>
        </w:rPr>
        <w:t>Sweden:</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Greater Stockholm</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Greater Gothenburg</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Greater Malmoe</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South Sweden</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West Sweden</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North Sweden</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East Sweden</w:t>
      </w:r>
    </w:p>
    <w:p w:rsidR="009A76A4" w:rsidRPr="009C38EB" w:rsidRDefault="009A76A4" w:rsidP="009A76A4">
      <w:pPr>
        <w:pStyle w:val="ListParagraph"/>
        <w:numPr>
          <w:ilvl w:val="0"/>
          <w:numId w:val="5"/>
        </w:numPr>
        <w:rPr>
          <w:rFonts w:ascii="Verdana" w:hAnsi="Verdana"/>
          <w:sz w:val="18"/>
          <w:szCs w:val="18"/>
          <w:lang w:val="en-GB"/>
        </w:rPr>
      </w:pPr>
      <w:r w:rsidRPr="009C38EB">
        <w:rPr>
          <w:rFonts w:ascii="Verdana" w:hAnsi="Verdana"/>
          <w:sz w:val="18"/>
          <w:szCs w:val="18"/>
          <w:lang w:val="en-GB"/>
        </w:rPr>
        <w:t>United Kingdom [still to be decided]:</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East Anglia</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East Midlands</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London</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North</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North West</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Northern Ireland</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South East</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Scotland</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South West</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Wales</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West Midlands</w:t>
      </w:r>
    </w:p>
    <w:p w:rsidR="009A76A4" w:rsidRPr="009C38EB" w:rsidRDefault="009A76A4" w:rsidP="009A76A4">
      <w:pPr>
        <w:pStyle w:val="ListParagraph"/>
        <w:numPr>
          <w:ilvl w:val="1"/>
          <w:numId w:val="5"/>
        </w:numPr>
        <w:rPr>
          <w:rFonts w:ascii="Verdana" w:hAnsi="Verdana"/>
          <w:sz w:val="18"/>
          <w:szCs w:val="18"/>
          <w:lang w:val="en-GB"/>
        </w:rPr>
      </w:pPr>
      <w:r w:rsidRPr="009C38EB">
        <w:rPr>
          <w:rFonts w:ascii="Verdana" w:hAnsi="Verdana"/>
          <w:sz w:val="18"/>
          <w:szCs w:val="18"/>
          <w:lang w:val="en-GB"/>
        </w:rPr>
        <w:t>Yorkshire and Humberside</w:t>
      </w:r>
    </w:p>
    <w:p w:rsidR="009A76A4" w:rsidRDefault="009A76A4" w:rsidP="009A76A4">
      <w:pPr>
        <w:rPr>
          <w:lang w:val="en-GB"/>
        </w:rPr>
        <w:sectPr w:rsidR="009A76A4" w:rsidSect="009A76A4">
          <w:type w:val="continuous"/>
          <w:pgSz w:w="11906" w:h="16838"/>
          <w:pgMar w:top="1440" w:right="1440" w:bottom="1440" w:left="1440" w:header="708" w:footer="708" w:gutter="0"/>
          <w:cols w:num="2" w:space="708"/>
          <w:docGrid w:linePitch="360"/>
        </w:sectPr>
      </w:pPr>
    </w:p>
    <w:p w:rsidR="009A76A4" w:rsidRPr="007C20D2" w:rsidRDefault="009A76A4" w:rsidP="009A76A4">
      <w:pPr>
        <w:rPr>
          <w:lang w:val="en-GB"/>
        </w:rPr>
      </w:pPr>
    </w:p>
    <w:p w:rsidR="009A76A4" w:rsidRDefault="00B54BF3" w:rsidP="009A76A4">
      <w:pPr>
        <w:pStyle w:val="Heading3"/>
        <w:rPr>
          <w:lang w:val="en-GB"/>
        </w:rPr>
      </w:pPr>
      <w:bookmarkStart w:id="15" w:name="_Toc45273901"/>
      <w:bookmarkStart w:id="16" w:name="_Toc57805972"/>
      <w:r>
        <w:rPr>
          <w:lang w:val="en-GB"/>
        </w:rPr>
        <w:t>1</w:t>
      </w:r>
      <w:r w:rsidR="009A76A4">
        <w:rPr>
          <w:lang w:val="en-GB"/>
        </w:rPr>
        <w:t>.6. Breakdown by Interest Rate</w:t>
      </w:r>
      <w:bookmarkEnd w:id="15"/>
      <w:bookmarkEnd w:id="16"/>
    </w:p>
    <w:p w:rsidR="009A76A4" w:rsidRPr="009C38EB" w:rsidRDefault="009A76A4" w:rsidP="009A76A4">
      <w:pPr>
        <w:rPr>
          <w:rFonts w:ascii="Verdana" w:hAnsi="Verdana"/>
          <w:sz w:val="18"/>
          <w:szCs w:val="18"/>
          <w:lang w:val="en-GB"/>
        </w:rPr>
      </w:pPr>
      <w:r w:rsidRPr="009C38EB">
        <w:rPr>
          <w:rFonts w:ascii="Verdana" w:hAnsi="Verdana"/>
          <w:sz w:val="18"/>
          <w:szCs w:val="18"/>
          <w:lang w:val="en-GB"/>
        </w:rPr>
        <w:t xml:space="preserve">Please refer to section </w:t>
      </w:r>
      <w:r w:rsidR="00B54BF3">
        <w:rPr>
          <w:rFonts w:ascii="Verdana" w:hAnsi="Verdana"/>
          <w:sz w:val="18"/>
          <w:szCs w:val="18"/>
          <w:lang w:val="en-GB"/>
        </w:rPr>
        <w:t>1</w:t>
      </w:r>
      <w:r w:rsidRPr="009C38EB">
        <w:rPr>
          <w:rFonts w:ascii="Verdana" w:hAnsi="Verdana"/>
          <w:sz w:val="18"/>
          <w:szCs w:val="18"/>
          <w:lang w:val="en-GB"/>
        </w:rPr>
        <w:t>.4. Breakdown by geography</w:t>
      </w:r>
    </w:p>
    <w:p w:rsidR="009A76A4" w:rsidRDefault="00B54BF3" w:rsidP="009A76A4">
      <w:pPr>
        <w:pStyle w:val="Heading3"/>
        <w:rPr>
          <w:lang w:val="en-GB"/>
        </w:rPr>
      </w:pPr>
      <w:bookmarkStart w:id="17" w:name="_Toc45273902"/>
      <w:bookmarkStart w:id="18" w:name="_Toc57805973"/>
      <w:r>
        <w:rPr>
          <w:lang w:val="en-GB"/>
        </w:rPr>
        <w:t>1</w:t>
      </w:r>
      <w:r w:rsidR="009A76A4">
        <w:rPr>
          <w:lang w:val="en-GB"/>
        </w:rPr>
        <w:t>.7. Breakdown by Repayment Type</w:t>
      </w:r>
      <w:bookmarkEnd w:id="17"/>
      <w:bookmarkEnd w:id="18"/>
    </w:p>
    <w:p w:rsidR="009A76A4" w:rsidRPr="009C38EB" w:rsidRDefault="009A76A4" w:rsidP="009A76A4">
      <w:pPr>
        <w:rPr>
          <w:rFonts w:ascii="Verdana" w:hAnsi="Verdana"/>
          <w:sz w:val="18"/>
          <w:szCs w:val="18"/>
          <w:lang w:val="en-GB"/>
        </w:rPr>
      </w:pPr>
      <w:r w:rsidRPr="009C38EB">
        <w:rPr>
          <w:rFonts w:ascii="Verdana" w:hAnsi="Verdana"/>
          <w:sz w:val="18"/>
          <w:szCs w:val="18"/>
          <w:lang w:val="en-GB"/>
        </w:rPr>
        <w:t xml:space="preserve">Please refer to section </w:t>
      </w:r>
      <w:r w:rsidR="00B54BF3">
        <w:rPr>
          <w:rFonts w:ascii="Verdana" w:hAnsi="Verdana"/>
          <w:sz w:val="18"/>
          <w:szCs w:val="18"/>
          <w:lang w:val="en-GB"/>
        </w:rPr>
        <w:t>1</w:t>
      </w:r>
      <w:r w:rsidRPr="009C38EB">
        <w:rPr>
          <w:rFonts w:ascii="Verdana" w:hAnsi="Verdana"/>
          <w:sz w:val="18"/>
          <w:szCs w:val="18"/>
          <w:lang w:val="en-GB"/>
        </w:rPr>
        <w:t>.4. Breakdown by geography</w:t>
      </w:r>
    </w:p>
    <w:p w:rsidR="009A76A4" w:rsidRDefault="00B54BF3" w:rsidP="009A76A4">
      <w:pPr>
        <w:pStyle w:val="Heading3"/>
        <w:rPr>
          <w:lang w:val="en-GB"/>
        </w:rPr>
      </w:pPr>
      <w:bookmarkStart w:id="19" w:name="_Toc45273903"/>
      <w:bookmarkStart w:id="20" w:name="_Toc57805974"/>
      <w:r>
        <w:rPr>
          <w:lang w:val="en-GB"/>
        </w:rPr>
        <w:t>1</w:t>
      </w:r>
      <w:r w:rsidR="009A76A4">
        <w:rPr>
          <w:lang w:val="en-GB"/>
        </w:rPr>
        <w:t>.8. Loan Seasoning</w:t>
      </w:r>
      <w:bookmarkEnd w:id="19"/>
      <w:bookmarkEnd w:id="20"/>
    </w:p>
    <w:p w:rsidR="009A76A4" w:rsidRPr="009C38EB" w:rsidRDefault="009A76A4" w:rsidP="009A76A4">
      <w:pPr>
        <w:rPr>
          <w:rFonts w:ascii="Verdana" w:hAnsi="Verdana"/>
          <w:sz w:val="18"/>
          <w:szCs w:val="18"/>
          <w:lang w:val="en-GB"/>
        </w:rPr>
      </w:pPr>
      <w:r w:rsidRPr="009C38EB">
        <w:rPr>
          <w:rFonts w:ascii="Verdana" w:hAnsi="Verdana"/>
          <w:sz w:val="18"/>
          <w:szCs w:val="18"/>
          <w:lang w:val="en-GB"/>
        </w:rPr>
        <w:t xml:space="preserve">Please refer to section </w:t>
      </w:r>
      <w:r w:rsidR="00B54BF3">
        <w:rPr>
          <w:rFonts w:ascii="Verdana" w:hAnsi="Verdana"/>
          <w:sz w:val="18"/>
          <w:szCs w:val="18"/>
          <w:lang w:val="en-GB"/>
        </w:rPr>
        <w:t>1</w:t>
      </w:r>
      <w:r w:rsidRPr="009C38EB">
        <w:rPr>
          <w:rFonts w:ascii="Verdana" w:hAnsi="Verdana"/>
          <w:sz w:val="18"/>
          <w:szCs w:val="18"/>
          <w:lang w:val="en-GB"/>
        </w:rPr>
        <w:t>.4. Breakdown by geography</w:t>
      </w:r>
    </w:p>
    <w:p w:rsidR="009A76A4" w:rsidRDefault="00B54BF3" w:rsidP="009A76A4">
      <w:pPr>
        <w:pStyle w:val="Heading3"/>
        <w:rPr>
          <w:lang w:val="en-GB"/>
        </w:rPr>
      </w:pPr>
      <w:bookmarkStart w:id="21" w:name="_Toc45273904"/>
      <w:bookmarkStart w:id="22" w:name="_Toc57805975"/>
      <w:r>
        <w:rPr>
          <w:lang w:val="en-GB"/>
        </w:rPr>
        <w:t>1</w:t>
      </w:r>
      <w:r w:rsidR="009A76A4">
        <w:rPr>
          <w:lang w:val="en-GB"/>
        </w:rPr>
        <w:t xml:space="preserve">.A - 10. Loan Size information and </w:t>
      </w:r>
      <w:r>
        <w:rPr>
          <w:lang w:val="en-GB"/>
        </w:rPr>
        <w:t>1</w:t>
      </w:r>
      <w:r w:rsidR="009A76A4">
        <w:rPr>
          <w:lang w:val="en-GB"/>
        </w:rPr>
        <w:t>.B – 15. Loan Size information</w:t>
      </w:r>
      <w:bookmarkEnd w:id="21"/>
      <w:bookmarkEnd w:id="22"/>
    </w:p>
    <w:p w:rsidR="009A76A4" w:rsidRPr="009C38EB" w:rsidRDefault="009A76A4" w:rsidP="009A76A4">
      <w:pPr>
        <w:jc w:val="both"/>
        <w:rPr>
          <w:rFonts w:ascii="Verdana" w:hAnsi="Verdana"/>
          <w:sz w:val="18"/>
          <w:szCs w:val="18"/>
          <w:lang w:val="en-GB"/>
        </w:rPr>
      </w:pPr>
      <w:r w:rsidRPr="009C38EB">
        <w:rPr>
          <w:rFonts w:ascii="Verdana" w:hAnsi="Verdana"/>
          <w:sz w:val="18"/>
          <w:szCs w:val="18"/>
          <w:lang w:val="en-GB"/>
        </w:rPr>
        <w:t xml:space="preserve">Here below the bucket breakdown list for the loan size information in the different jurisdictions which are linked to their respective domestic currency. National coordinators are invited to ensure that </w:t>
      </w:r>
      <w:r w:rsidR="009D736D">
        <w:rPr>
          <w:rFonts w:ascii="Verdana" w:hAnsi="Verdana"/>
          <w:sz w:val="18"/>
          <w:szCs w:val="18"/>
          <w:lang w:val="en-GB"/>
        </w:rPr>
        <w:t>lending institutions</w:t>
      </w:r>
      <w:r w:rsidRPr="009C38EB">
        <w:rPr>
          <w:rFonts w:ascii="Verdana" w:hAnsi="Verdana"/>
          <w:sz w:val="18"/>
          <w:szCs w:val="18"/>
          <w:lang w:val="en-GB"/>
        </w:rPr>
        <w:t xml:space="preserve"> use the agreed breakdown for the loan size information as well as the same style of presentation</w:t>
      </w:r>
      <w:r w:rsidR="00B54BF3">
        <w:rPr>
          <w:rFonts w:ascii="Verdana" w:hAnsi="Verdana"/>
          <w:sz w:val="18"/>
          <w:szCs w:val="18"/>
          <w:lang w:val="en-GB"/>
        </w:rPr>
        <w:t>. The breakdown proposed here below has been taken from the HTT of the Covered Bond Label.</w:t>
      </w:r>
    </w:p>
    <w:p w:rsidR="009A76A4" w:rsidRPr="00BB6E5B" w:rsidRDefault="009A76A4" w:rsidP="009A76A4">
      <w:pPr>
        <w:spacing w:after="160" w:line="259" w:lineRule="auto"/>
        <w:rPr>
          <w:lang w:val="en-GB"/>
        </w:rPr>
      </w:pPr>
      <w:r>
        <w:rPr>
          <w:lang w:val="en-GB"/>
        </w:rPr>
        <w:br w:type="page"/>
      </w:r>
    </w:p>
    <w:tbl>
      <w:tblPr>
        <w:tblStyle w:val="TableGrid"/>
        <w:tblW w:w="9634" w:type="dxa"/>
        <w:tblLook w:val="04A0" w:firstRow="1" w:lastRow="0" w:firstColumn="1" w:lastColumn="0" w:noHBand="0" w:noVBand="1"/>
      </w:tblPr>
      <w:tblGrid>
        <w:gridCol w:w="1838"/>
        <w:gridCol w:w="4111"/>
        <w:gridCol w:w="3685"/>
      </w:tblGrid>
      <w:tr w:rsidR="009A76A4" w:rsidTr="009A76A4">
        <w:trPr>
          <w:trHeight w:val="339"/>
          <w:tblHeader/>
        </w:trPr>
        <w:tc>
          <w:tcPr>
            <w:tcW w:w="1838" w:type="dxa"/>
          </w:tcPr>
          <w:p w:rsidR="009A76A4" w:rsidRPr="005D5B80" w:rsidRDefault="009A76A4" w:rsidP="009A76A4">
            <w:pPr>
              <w:jc w:val="both"/>
              <w:rPr>
                <w:b/>
                <w:bCs/>
                <w:lang w:val="en-BE"/>
              </w:rPr>
            </w:pPr>
            <w:r w:rsidRPr="005D5B80">
              <w:rPr>
                <w:b/>
                <w:bCs/>
                <w:lang w:val="en-BE"/>
              </w:rPr>
              <w:lastRenderedPageBreak/>
              <w:t>Country</w:t>
            </w:r>
          </w:p>
        </w:tc>
        <w:tc>
          <w:tcPr>
            <w:tcW w:w="4111" w:type="dxa"/>
          </w:tcPr>
          <w:p w:rsidR="009A76A4" w:rsidRPr="005D5B80" w:rsidRDefault="009A76A4" w:rsidP="009A76A4">
            <w:pPr>
              <w:jc w:val="both"/>
              <w:rPr>
                <w:b/>
                <w:bCs/>
                <w:lang w:val="en-BE"/>
              </w:rPr>
            </w:pPr>
            <w:r w:rsidRPr="005D5B80">
              <w:rPr>
                <w:b/>
                <w:bCs/>
                <w:lang w:val="en-BE"/>
              </w:rPr>
              <w:t>Residential loans</w:t>
            </w:r>
          </w:p>
        </w:tc>
        <w:tc>
          <w:tcPr>
            <w:tcW w:w="3685" w:type="dxa"/>
          </w:tcPr>
          <w:p w:rsidR="009A76A4" w:rsidRPr="005D5B80" w:rsidRDefault="009A76A4" w:rsidP="009A76A4">
            <w:pPr>
              <w:jc w:val="both"/>
              <w:rPr>
                <w:b/>
                <w:bCs/>
                <w:lang w:val="en-BE"/>
              </w:rPr>
            </w:pPr>
            <w:r w:rsidRPr="005D5B80">
              <w:rPr>
                <w:b/>
                <w:bCs/>
                <w:lang w:val="en-BE"/>
              </w:rPr>
              <w:t>Commercial loans</w:t>
            </w:r>
          </w:p>
        </w:tc>
      </w:tr>
      <w:tr w:rsidR="009A76A4" w:rsidTr="009A76A4">
        <w:tc>
          <w:tcPr>
            <w:tcW w:w="1838" w:type="dxa"/>
          </w:tcPr>
          <w:p w:rsidR="009A76A4" w:rsidRPr="005D5B80" w:rsidRDefault="009A76A4" w:rsidP="009A76A4">
            <w:pPr>
              <w:jc w:val="both"/>
              <w:rPr>
                <w:lang w:val="en-BE"/>
              </w:rPr>
            </w:pPr>
            <w:r>
              <w:rPr>
                <w:lang w:val="en-BE"/>
              </w:rPr>
              <w:t>Austria</w:t>
            </w:r>
          </w:p>
        </w:tc>
        <w:tc>
          <w:tcPr>
            <w:tcW w:w="4111" w:type="dxa"/>
          </w:tcPr>
          <w:p w:rsidR="009A76A4" w:rsidRDefault="009A76A4" w:rsidP="009A76A4">
            <w:pPr>
              <w:spacing w:after="0" w:line="240" w:lineRule="auto"/>
              <w:rPr>
                <w:lang w:val="en-GB"/>
              </w:rPr>
            </w:pPr>
            <w:r w:rsidRPr="00D025A6">
              <w:rPr>
                <w:lang w:val="en-GB"/>
              </w:rPr>
              <w:t>&lt; 100.000</w:t>
            </w:r>
            <w:r>
              <w:rPr>
                <w:lang w:val="en-GB"/>
              </w:rPr>
              <w:br/>
            </w:r>
            <w:r w:rsidRPr="00D025A6">
              <w:rPr>
                <w:lang w:val="en-GB"/>
              </w:rPr>
              <w:t>100.000 - 300.000</w:t>
            </w:r>
            <w:r>
              <w:rPr>
                <w:lang w:val="en-GB"/>
              </w:rPr>
              <w:br/>
              <w:t>3</w:t>
            </w:r>
            <w:r w:rsidRPr="00D025A6">
              <w:rPr>
                <w:lang w:val="en-GB"/>
              </w:rPr>
              <w:t>00.000 - 500.000</w:t>
            </w:r>
            <w:r>
              <w:rPr>
                <w:lang w:val="en-GB"/>
              </w:rPr>
              <w:br/>
            </w:r>
            <w:r w:rsidRPr="00D025A6">
              <w:rPr>
                <w:lang w:val="en-GB"/>
              </w:rPr>
              <w:t>500.000 - 1.000.000</w:t>
            </w:r>
            <w:r>
              <w:rPr>
                <w:lang w:val="en-GB"/>
              </w:rPr>
              <w:br/>
            </w:r>
            <w:r w:rsidRPr="00D025A6">
              <w:rPr>
                <w:lang w:val="en-GB"/>
              </w:rPr>
              <w:t>1.000.000 - 5.000.000</w:t>
            </w:r>
            <w:r>
              <w:rPr>
                <w:lang w:val="en-GB"/>
              </w:rPr>
              <w:br/>
            </w:r>
            <w:r w:rsidRPr="00D025A6">
              <w:rPr>
                <w:lang w:val="en-GB"/>
              </w:rPr>
              <w:t>&gt; 5.000.000</w:t>
            </w:r>
          </w:p>
        </w:tc>
        <w:tc>
          <w:tcPr>
            <w:tcW w:w="3685" w:type="dxa"/>
          </w:tcPr>
          <w:p w:rsidR="009A76A4" w:rsidRDefault="009A76A4" w:rsidP="009A76A4">
            <w:pPr>
              <w:spacing w:after="0" w:line="240" w:lineRule="auto"/>
              <w:rPr>
                <w:lang w:val="en-GB"/>
              </w:rPr>
            </w:pPr>
            <w:r w:rsidRPr="00D025A6">
              <w:rPr>
                <w:lang w:val="en-GB"/>
              </w:rPr>
              <w:t>&lt; 100.000</w:t>
            </w:r>
            <w:r>
              <w:rPr>
                <w:lang w:val="en-GB"/>
              </w:rPr>
              <w:br/>
            </w:r>
            <w:r w:rsidRPr="00D025A6">
              <w:rPr>
                <w:lang w:val="en-GB"/>
              </w:rPr>
              <w:t>100.000 - 300.000</w:t>
            </w:r>
            <w:r>
              <w:rPr>
                <w:lang w:val="en-GB"/>
              </w:rPr>
              <w:br/>
            </w:r>
            <w:r w:rsidRPr="00D025A6">
              <w:rPr>
                <w:lang w:val="en-GB"/>
              </w:rPr>
              <w:t>300.000 - 500.000</w:t>
            </w:r>
            <w:r>
              <w:rPr>
                <w:lang w:val="en-GB"/>
              </w:rPr>
              <w:br/>
            </w:r>
            <w:r w:rsidRPr="00D025A6">
              <w:rPr>
                <w:lang w:val="en-GB"/>
              </w:rPr>
              <w:t>500.000 - 1.000.000</w:t>
            </w:r>
            <w:r>
              <w:rPr>
                <w:lang w:val="en-GB"/>
              </w:rPr>
              <w:br/>
            </w:r>
            <w:r w:rsidRPr="00D025A6">
              <w:rPr>
                <w:lang w:val="en-GB"/>
              </w:rPr>
              <w:t>1.000.000 - 5.000.000</w:t>
            </w:r>
            <w:r>
              <w:rPr>
                <w:lang w:val="en-GB"/>
              </w:rPr>
              <w:br/>
            </w:r>
            <w:r w:rsidRPr="00D025A6">
              <w:rPr>
                <w:lang w:val="en-GB"/>
              </w:rPr>
              <w:t>&gt; 5.000.000</w:t>
            </w:r>
          </w:p>
        </w:tc>
      </w:tr>
      <w:tr w:rsidR="009A76A4" w:rsidTr="009A76A4">
        <w:tc>
          <w:tcPr>
            <w:tcW w:w="1838" w:type="dxa"/>
          </w:tcPr>
          <w:p w:rsidR="009A76A4" w:rsidRPr="005D5B80" w:rsidRDefault="009A76A4" w:rsidP="009A76A4">
            <w:pPr>
              <w:jc w:val="both"/>
              <w:rPr>
                <w:lang w:val="en-BE"/>
              </w:rPr>
            </w:pPr>
            <w:r>
              <w:rPr>
                <w:lang w:val="en-BE"/>
              </w:rPr>
              <w:t>Belgium</w:t>
            </w:r>
          </w:p>
        </w:tc>
        <w:tc>
          <w:tcPr>
            <w:tcW w:w="4111" w:type="dxa"/>
          </w:tcPr>
          <w:p w:rsidR="009A76A4" w:rsidRDefault="009A76A4" w:rsidP="009A76A4">
            <w:pPr>
              <w:spacing w:after="0" w:line="240" w:lineRule="auto"/>
              <w:rPr>
                <w:lang w:val="en-GB"/>
              </w:rPr>
            </w:pPr>
            <w:r w:rsidRPr="00934262">
              <w:rPr>
                <w:lang w:val="en-GB"/>
              </w:rPr>
              <w:t>&lt;=100K</w:t>
            </w:r>
            <w:r>
              <w:rPr>
                <w:lang w:val="en-GB"/>
              </w:rPr>
              <w:br/>
            </w:r>
            <w:r w:rsidRPr="00934262">
              <w:rPr>
                <w:lang w:val="en-GB"/>
              </w:rPr>
              <w:t>&gt;100K and &lt;=200K</w:t>
            </w:r>
            <w:r>
              <w:rPr>
                <w:lang w:val="en-GB"/>
              </w:rPr>
              <w:br/>
            </w:r>
            <w:r w:rsidRPr="00934262">
              <w:rPr>
                <w:lang w:val="en-GB"/>
              </w:rPr>
              <w:t>&gt;200K and &lt;=300K</w:t>
            </w:r>
            <w:r>
              <w:rPr>
                <w:lang w:val="en-GB"/>
              </w:rPr>
              <w:br/>
            </w:r>
            <w:r w:rsidRPr="00934262">
              <w:rPr>
                <w:lang w:val="en-GB"/>
              </w:rPr>
              <w:t>&gt;300K and &lt;=400K</w:t>
            </w:r>
            <w:r>
              <w:rPr>
                <w:lang w:val="en-GB"/>
              </w:rPr>
              <w:br/>
            </w:r>
            <w:r w:rsidRPr="00934262">
              <w:rPr>
                <w:lang w:val="en-GB"/>
              </w:rPr>
              <w:t>&gt;400K</w:t>
            </w:r>
          </w:p>
        </w:tc>
        <w:tc>
          <w:tcPr>
            <w:tcW w:w="3685" w:type="dxa"/>
          </w:tcPr>
          <w:p w:rsidR="009A76A4" w:rsidRPr="005D5B80" w:rsidRDefault="009A76A4" w:rsidP="009A76A4">
            <w:pPr>
              <w:spacing w:after="0" w:line="240" w:lineRule="auto"/>
              <w:jc w:val="both"/>
              <w:rPr>
                <w:lang w:val="en-BE"/>
              </w:rPr>
            </w:pPr>
            <w:r>
              <w:rPr>
                <w:lang w:val="en-BE"/>
              </w:rPr>
              <w:t>Not present</w:t>
            </w:r>
          </w:p>
        </w:tc>
      </w:tr>
      <w:tr w:rsidR="009A76A4" w:rsidTr="009A76A4">
        <w:tc>
          <w:tcPr>
            <w:tcW w:w="1838" w:type="dxa"/>
          </w:tcPr>
          <w:p w:rsidR="009A76A4" w:rsidRPr="005D5B80" w:rsidRDefault="009A76A4" w:rsidP="009A76A4">
            <w:pPr>
              <w:jc w:val="both"/>
              <w:rPr>
                <w:lang w:val="en-BE"/>
              </w:rPr>
            </w:pPr>
            <w:r>
              <w:rPr>
                <w:lang w:val="en-BE"/>
              </w:rPr>
              <w:t>Canada</w:t>
            </w:r>
          </w:p>
        </w:tc>
        <w:tc>
          <w:tcPr>
            <w:tcW w:w="4111" w:type="dxa"/>
          </w:tcPr>
          <w:p w:rsidR="009A76A4" w:rsidRDefault="009A76A4" w:rsidP="009A76A4">
            <w:pPr>
              <w:spacing w:after="0" w:line="240" w:lineRule="auto"/>
              <w:rPr>
                <w:lang w:val="en-GB"/>
              </w:rPr>
            </w:pPr>
            <w:r w:rsidRPr="00934262">
              <w:rPr>
                <w:lang w:val="en-GB"/>
              </w:rPr>
              <w:t>99,999 and below</w:t>
            </w:r>
            <w:r>
              <w:rPr>
                <w:lang w:val="en-GB"/>
              </w:rPr>
              <w:br/>
              <w:t>1</w:t>
            </w:r>
            <w:r w:rsidRPr="00934262">
              <w:rPr>
                <w:lang w:val="en-GB"/>
              </w:rPr>
              <w:t>00,000 - 199,999</w:t>
            </w:r>
            <w:r>
              <w:rPr>
                <w:lang w:val="en-GB"/>
              </w:rPr>
              <w:br/>
            </w:r>
            <w:r w:rsidRPr="00934262">
              <w:rPr>
                <w:lang w:val="en-GB"/>
              </w:rPr>
              <w:t>200,000 - 299,999</w:t>
            </w:r>
            <w:r>
              <w:rPr>
                <w:lang w:val="en-GB"/>
              </w:rPr>
              <w:br/>
            </w:r>
            <w:r w:rsidRPr="00934262">
              <w:rPr>
                <w:lang w:val="en-GB"/>
              </w:rPr>
              <w:t>300,000 - 399,999</w:t>
            </w:r>
            <w:r>
              <w:rPr>
                <w:lang w:val="en-GB"/>
              </w:rPr>
              <w:br/>
            </w:r>
            <w:r w:rsidRPr="00934262">
              <w:rPr>
                <w:lang w:val="en-GB"/>
              </w:rPr>
              <w:t>400,000 - 499,999</w:t>
            </w:r>
            <w:r>
              <w:rPr>
                <w:lang w:val="en-GB"/>
              </w:rPr>
              <w:br/>
            </w:r>
            <w:r w:rsidRPr="00934262">
              <w:rPr>
                <w:lang w:val="en-GB"/>
              </w:rPr>
              <w:t>500,000 - 599,999</w:t>
            </w:r>
            <w:r>
              <w:rPr>
                <w:lang w:val="en-GB"/>
              </w:rPr>
              <w:br/>
            </w:r>
            <w:r w:rsidRPr="00934262">
              <w:rPr>
                <w:lang w:val="en-GB"/>
              </w:rPr>
              <w:t>600,000 - 699,999</w:t>
            </w:r>
            <w:r>
              <w:rPr>
                <w:lang w:val="en-GB"/>
              </w:rPr>
              <w:br/>
            </w:r>
            <w:r w:rsidRPr="00934262">
              <w:rPr>
                <w:lang w:val="en-GB"/>
              </w:rPr>
              <w:t>700,000 - 799,999</w:t>
            </w:r>
            <w:r>
              <w:rPr>
                <w:lang w:val="en-GB"/>
              </w:rPr>
              <w:br/>
            </w:r>
            <w:r w:rsidRPr="00934262">
              <w:rPr>
                <w:lang w:val="en-GB"/>
              </w:rPr>
              <w:t>800,000 - 899,999</w:t>
            </w:r>
            <w:r>
              <w:rPr>
                <w:lang w:val="en-GB"/>
              </w:rPr>
              <w:br/>
            </w:r>
            <w:r w:rsidRPr="00934262">
              <w:rPr>
                <w:lang w:val="en-GB"/>
              </w:rPr>
              <w:t>900,000 - 999,999</w:t>
            </w:r>
            <w:r>
              <w:rPr>
                <w:lang w:val="en-GB"/>
              </w:rPr>
              <w:br/>
            </w:r>
            <w:r w:rsidRPr="00934262">
              <w:rPr>
                <w:lang w:val="en-GB"/>
              </w:rPr>
              <w:t>1,000,000 and above</w:t>
            </w:r>
          </w:p>
        </w:tc>
        <w:tc>
          <w:tcPr>
            <w:tcW w:w="3685" w:type="dxa"/>
          </w:tcPr>
          <w:p w:rsidR="009A76A4" w:rsidRPr="005D5B80" w:rsidRDefault="009A76A4" w:rsidP="009A76A4">
            <w:pPr>
              <w:spacing w:after="0" w:line="240" w:lineRule="auto"/>
              <w:jc w:val="both"/>
              <w:rPr>
                <w:lang w:val="en-BE"/>
              </w:rPr>
            </w:pPr>
            <w:r>
              <w:rPr>
                <w:lang w:val="en-BE"/>
              </w:rPr>
              <w:t>Not present</w:t>
            </w:r>
          </w:p>
        </w:tc>
      </w:tr>
      <w:tr w:rsidR="009A76A4" w:rsidRPr="009A76A4" w:rsidTr="009A76A4">
        <w:tc>
          <w:tcPr>
            <w:tcW w:w="1838" w:type="dxa"/>
          </w:tcPr>
          <w:p w:rsidR="009A76A4" w:rsidRPr="005D5B80" w:rsidRDefault="009A76A4" w:rsidP="009A76A4">
            <w:pPr>
              <w:jc w:val="both"/>
              <w:rPr>
                <w:lang w:val="en-BE"/>
              </w:rPr>
            </w:pPr>
            <w:r>
              <w:rPr>
                <w:lang w:val="en-BE"/>
              </w:rPr>
              <w:t>Denmark</w:t>
            </w:r>
          </w:p>
        </w:tc>
        <w:tc>
          <w:tcPr>
            <w:tcW w:w="4111" w:type="dxa"/>
            <w:vAlign w:val="center"/>
          </w:tcPr>
          <w:p w:rsidR="009A76A4" w:rsidRPr="009A76A4" w:rsidRDefault="009A76A4" w:rsidP="009A76A4">
            <w:pPr>
              <w:spacing w:after="0" w:line="240" w:lineRule="auto"/>
              <w:rPr>
                <w:rFonts w:eastAsia="Times New Roman" w:cs="Calibri"/>
                <w:lang w:val="nl-BE" w:eastAsia="en-GB"/>
              </w:rPr>
            </w:pPr>
            <w:r w:rsidRPr="009A76A4">
              <w:rPr>
                <w:rFonts w:eastAsia="Times New Roman" w:cs="Calibri"/>
                <w:lang w:val="nl-BE" w:eastAsia="en-GB"/>
              </w:rPr>
              <w:t>DKK 0 - 2m</w:t>
            </w:r>
          </w:p>
          <w:p w:rsidR="009A76A4" w:rsidRPr="009A76A4" w:rsidRDefault="009A76A4" w:rsidP="009A76A4">
            <w:pPr>
              <w:spacing w:after="0" w:line="240" w:lineRule="auto"/>
              <w:rPr>
                <w:rFonts w:eastAsia="Times New Roman" w:cs="Calibri"/>
                <w:lang w:val="nl-BE" w:eastAsia="en-GB"/>
              </w:rPr>
            </w:pPr>
            <w:r w:rsidRPr="009A76A4">
              <w:rPr>
                <w:rFonts w:eastAsia="Times New Roman" w:cs="Calibri"/>
                <w:lang w:val="nl-BE" w:eastAsia="en-GB"/>
              </w:rPr>
              <w:t>DKK 2 - 5m</w:t>
            </w:r>
          </w:p>
          <w:p w:rsidR="009A76A4" w:rsidRPr="009A76A4" w:rsidRDefault="009A76A4" w:rsidP="009A76A4">
            <w:pPr>
              <w:spacing w:after="0" w:line="240" w:lineRule="auto"/>
              <w:rPr>
                <w:rFonts w:eastAsia="Times New Roman" w:cs="Calibri"/>
                <w:lang w:val="nl-BE" w:eastAsia="en-GB"/>
              </w:rPr>
            </w:pPr>
            <w:r w:rsidRPr="009A76A4">
              <w:rPr>
                <w:rFonts w:eastAsia="Times New Roman" w:cs="Calibri"/>
                <w:lang w:val="nl-BE" w:eastAsia="en-GB"/>
              </w:rPr>
              <w:t>DKK 5 - 20m</w:t>
            </w:r>
          </w:p>
          <w:p w:rsidR="009A76A4" w:rsidRPr="009A76A4" w:rsidRDefault="009A76A4" w:rsidP="009A76A4">
            <w:pPr>
              <w:spacing w:after="0" w:line="240" w:lineRule="auto"/>
              <w:rPr>
                <w:rFonts w:eastAsia="Times New Roman" w:cs="Calibri"/>
                <w:lang w:val="nl-BE" w:eastAsia="en-GB"/>
              </w:rPr>
            </w:pPr>
            <w:r w:rsidRPr="009A76A4">
              <w:rPr>
                <w:rFonts w:eastAsia="Times New Roman" w:cs="Calibri"/>
                <w:lang w:val="nl-BE" w:eastAsia="en-GB"/>
              </w:rPr>
              <w:t>DKK 20 - 50m</w:t>
            </w:r>
          </w:p>
          <w:p w:rsidR="009A76A4" w:rsidRPr="009A76A4" w:rsidRDefault="009A76A4" w:rsidP="009A76A4">
            <w:pPr>
              <w:spacing w:after="0" w:line="240" w:lineRule="auto"/>
              <w:rPr>
                <w:rFonts w:eastAsia="Times New Roman" w:cs="Calibri"/>
                <w:lang w:val="nl-BE" w:eastAsia="en-GB"/>
              </w:rPr>
            </w:pPr>
            <w:r w:rsidRPr="009A76A4">
              <w:rPr>
                <w:rFonts w:eastAsia="Times New Roman" w:cs="Calibri"/>
                <w:lang w:val="nl-BE" w:eastAsia="en-GB"/>
              </w:rPr>
              <w:t>DKK 50 - 100m</w:t>
            </w:r>
          </w:p>
          <w:p w:rsidR="009A76A4" w:rsidRPr="009A76A4" w:rsidRDefault="009A76A4" w:rsidP="009A76A4">
            <w:pPr>
              <w:spacing w:after="0" w:line="240" w:lineRule="auto"/>
              <w:rPr>
                <w:lang w:val="nl-BE"/>
              </w:rPr>
            </w:pPr>
            <w:r w:rsidRPr="009A76A4">
              <w:rPr>
                <w:rFonts w:eastAsia="Times New Roman" w:cs="Calibri"/>
                <w:lang w:val="nl-BE" w:eastAsia="en-GB"/>
              </w:rPr>
              <w:t>&gt; DKK 100m</w:t>
            </w:r>
          </w:p>
        </w:tc>
        <w:tc>
          <w:tcPr>
            <w:tcW w:w="3685" w:type="dxa"/>
          </w:tcPr>
          <w:p w:rsidR="009A76A4" w:rsidRPr="009A76A4" w:rsidRDefault="009A76A4" w:rsidP="009A76A4">
            <w:pPr>
              <w:spacing w:after="0" w:line="240" w:lineRule="auto"/>
              <w:rPr>
                <w:lang w:val="nl-BE"/>
              </w:rPr>
            </w:pPr>
            <w:r w:rsidRPr="009A76A4">
              <w:rPr>
                <w:lang w:val="nl-BE"/>
              </w:rPr>
              <w:t>DKK 0 - 2m</w:t>
            </w:r>
            <w:r w:rsidRPr="009A76A4">
              <w:rPr>
                <w:lang w:val="nl-BE"/>
              </w:rPr>
              <w:br/>
              <w:t>DKK 2 - 5m</w:t>
            </w:r>
            <w:r w:rsidRPr="009A76A4">
              <w:rPr>
                <w:lang w:val="nl-BE"/>
              </w:rPr>
              <w:br/>
              <w:t>DKK 5 - 20m</w:t>
            </w:r>
            <w:r w:rsidRPr="009A76A4">
              <w:rPr>
                <w:lang w:val="nl-BE"/>
              </w:rPr>
              <w:br/>
              <w:t>DKK 20 - 50m</w:t>
            </w:r>
            <w:r w:rsidRPr="009A76A4">
              <w:rPr>
                <w:lang w:val="nl-BE"/>
              </w:rPr>
              <w:br/>
              <w:t>DKK 50 - 100m</w:t>
            </w:r>
            <w:r w:rsidRPr="009A76A4">
              <w:rPr>
                <w:lang w:val="nl-BE"/>
              </w:rPr>
              <w:br/>
              <w:t>&gt; DKK 100m</w:t>
            </w:r>
          </w:p>
        </w:tc>
      </w:tr>
      <w:tr w:rsidR="009A76A4" w:rsidRPr="005D5B80" w:rsidTr="009A76A4">
        <w:tc>
          <w:tcPr>
            <w:tcW w:w="1838" w:type="dxa"/>
          </w:tcPr>
          <w:p w:rsidR="009A76A4" w:rsidRPr="005D5B80" w:rsidRDefault="009A76A4" w:rsidP="009A76A4">
            <w:pPr>
              <w:jc w:val="both"/>
              <w:rPr>
                <w:lang w:val="en-BE"/>
              </w:rPr>
            </w:pPr>
            <w:r>
              <w:rPr>
                <w:lang w:val="en-BE"/>
              </w:rPr>
              <w:t>Estonia</w:t>
            </w:r>
          </w:p>
        </w:tc>
        <w:tc>
          <w:tcPr>
            <w:tcW w:w="4111" w:type="dxa"/>
          </w:tcPr>
          <w:p w:rsidR="009A76A4" w:rsidRPr="009C38EB" w:rsidRDefault="009A76A4" w:rsidP="009A76A4">
            <w:pPr>
              <w:spacing w:after="0" w:line="240" w:lineRule="auto"/>
              <w:jc w:val="both"/>
              <w:rPr>
                <w:lang w:val="de-DE"/>
              </w:rPr>
            </w:pPr>
            <w:r w:rsidRPr="009C38EB">
              <w:rPr>
                <w:lang w:val="de-DE"/>
              </w:rPr>
              <w:t>&lt;=10,000.00</w:t>
            </w:r>
          </w:p>
          <w:p w:rsidR="009A76A4" w:rsidRPr="009C38EB" w:rsidRDefault="009A76A4" w:rsidP="009A76A4">
            <w:pPr>
              <w:spacing w:after="0" w:line="240" w:lineRule="auto"/>
              <w:jc w:val="both"/>
              <w:rPr>
                <w:lang w:val="de-DE"/>
              </w:rPr>
            </w:pPr>
            <w:r w:rsidRPr="009C38EB">
              <w:rPr>
                <w:lang w:val="de-DE"/>
              </w:rPr>
              <w:t>&gt;10,000.00 &lt;=20,000.00</w:t>
            </w:r>
          </w:p>
          <w:p w:rsidR="009A76A4" w:rsidRPr="009C38EB" w:rsidRDefault="009A76A4" w:rsidP="009A76A4">
            <w:pPr>
              <w:spacing w:after="0" w:line="240" w:lineRule="auto"/>
              <w:jc w:val="both"/>
              <w:rPr>
                <w:lang w:val="de-DE"/>
              </w:rPr>
            </w:pPr>
            <w:r w:rsidRPr="009C38EB">
              <w:rPr>
                <w:lang w:val="de-DE"/>
              </w:rPr>
              <w:t>&gt;20,000.00 &lt;=30,000.00</w:t>
            </w:r>
          </w:p>
          <w:p w:rsidR="009A76A4" w:rsidRPr="009C38EB" w:rsidRDefault="009A76A4" w:rsidP="009A76A4">
            <w:pPr>
              <w:spacing w:after="0" w:line="240" w:lineRule="auto"/>
              <w:jc w:val="both"/>
              <w:rPr>
                <w:lang w:val="de-DE"/>
              </w:rPr>
            </w:pPr>
            <w:r w:rsidRPr="009C38EB">
              <w:rPr>
                <w:lang w:val="de-DE"/>
              </w:rPr>
              <w:t>&gt;30,000.00 &lt;=40,000.00</w:t>
            </w:r>
          </w:p>
          <w:p w:rsidR="009A76A4" w:rsidRPr="009C38EB" w:rsidRDefault="009A76A4" w:rsidP="009A76A4">
            <w:pPr>
              <w:spacing w:after="0" w:line="240" w:lineRule="auto"/>
              <w:jc w:val="both"/>
              <w:rPr>
                <w:lang w:val="de-DE"/>
              </w:rPr>
            </w:pPr>
            <w:r w:rsidRPr="009C38EB">
              <w:rPr>
                <w:lang w:val="de-DE"/>
              </w:rPr>
              <w:t>&gt;40,000.00 &lt;=50,000.00</w:t>
            </w:r>
          </w:p>
          <w:p w:rsidR="009A76A4" w:rsidRPr="009C38EB" w:rsidRDefault="009A76A4" w:rsidP="009A76A4">
            <w:pPr>
              <w:spacing w:after="0" w:line="240" w:lineRule="auto"/>
              <w:jc w:val="both"/>
              <w:rPr>
                <w:lang w:val="de-DE"/>
              </w:rPr>
            </w:pPr>
            <w:r w:rsidRPr="009C38EB">
              <w:rPr>
                <w:lang w:val="de-DE"/>
              </w:rPr>
              <w:t>&gt;50,000.00 &lt;=60,000.00</w:t>
            </w:r>
          </w:p>
          <w:p w:rsidR="009A76A4" w:rsidRPr="009C38EB" w:rsidRDefault="009A76A4" w:rsidP="009A76A4">
            <w:pPr>
              <w:spacing w:after="0" w:line="240" w:lineRule="auto"/>
              <w:jc w:val="both"/>
              <w:rPr>
                <w:lang w:val="de-DE"/>
              </w:rPr>
            </w:pPr>
            <w:r w:rsidRPr="009C38EB">
              <w:rPr>
                <w:lang w:val="de-DE"/>
              </w:rPr>
              <w:t>&gt;60,000.00 &lt;=70,000.00</w:t>
            </w:r>
          </w:p>
          <w:p w:rsidR="009A76A4" w:rsidRPr="009C38EB" w:rsidRDefault="009A76A4" w:rsidP="009A76A4">
            <w:pPr>
              <w:spacing w:after="0" w:line="240" w:lineRule="auto"/>
              <w:jc w:val="both"/>
              <w:rPr>
                <w:lang w:val="de-DE"/>
              </w:rPr>
            </w:pPr>
            <w:r w:rsidRPr="009C38EB">
              <w:rPr>
                <w:lang w:val="de-DE"/>
              </w:rPr>
              <w:t>&gt;70,000.00 &lt;=80,000.00</w:t>
            </w:r>
          </w:p>
          <w:p w:rsidR="009A76A4" w:rsidRPr="009C38EB" w:rsidRDefault="009A76A4" w:rsidP="009A76A4">
            <w:pPr>
              <w:spacing w:after="0" w:line="240" w:lineRule="auto"/>
              <w:jc w:val="both"/>
              <w:rPr>
                <w:lang w:val="de-DE"/>
              </w:rPr>
            </w:pPr>
            <w:r w:rsidRPr="009C38EB">
              <w:rPr>
                <w:lang w:val="de-DE"/>
              </w:rPr>
              <w:t>&gt;80,000.00 &lt;=90,000.00</w:t>
            </w:r>
          </w:p>
          <w:p w:rsidR="009A76A4" w:rsidRPr="009C38EB" w:rsidRDefault="009A76A4" w:rsidP="009A76A4">
            <w:pPr>
              <w:spacing w:after="0" w:line="240" w:lineRule="auto"/>
              <w:jc w:val="both"/>
              <w:rPr>
                <w:lang w:val="de-DE"/>
              </w:rPr>
            </w:pPr>
            <w:r w:rsidRPr="009C38EB">
              <w:rPr>
                <w:lang w:val="de-DE"/>
              </w:rPr>
              <w:t>&gt;90,000.00 &lt;=100,000.00</w:t>
            </w:r>
          </w:p>
          <w:p w:rsidR="009A76A4" w:rsidRPr="009C38EB" w:rsidRDefault="009A76A4" w:rsidP="009A76A4">
            <w:pPr>
              <w:spacing w:after="0" w:line="240" w:lineRule="auto"/>
              <w:jc w:val="both"/>
              <w:rPr>
                <w:lang w:val="de-DE"/>
              </w:rPr>
            </w:pPr>
            <w:r w:rsidRPr="009C38EB">
              <w:rPr>
                <w:lang w:val="de-DE"/>
              </w:rPr>
              <w:t>&gt;100,000.00 &lt;=110,000.00</w:t>
            </w:r>
          </w:p>
          <w:p w:rsidR="009A76A4" w:rsidRPr="009C38EB" w:rsidRDefault="009A76A4" w:rsidP="009A76A4">
            <w:pPr>
              <w:spacing w:after="0" w:line="240" w:lineRule="auto"/>
              <w:jc w:val="both"/>
              <w:rPr>
                <w:lang w:val="de-DE"/>
              </w:rPr>
            </w:pPr>
            <w:r w:rsidRPr="009C38EB">
              <w:rPr>
                <w:lang w:val="de-DE"/>
              </w:rPr>
              <w:t>&gt;110,000.00 &lt;=120,000.00</w:t>
            </w:r>
          </w:p>
          <w:p w:rsidR="009A76A4" w:rsidRPr="009C38EB" w:rsidRDefault="009A76A4" w:rsidP="009A76A4">
            <w:pPr>
              <w:spacing w:after="0" w:line="240" w:lineRule="auto"/>
              <w:jc w:val="both"/>
              <w:rPr>
                <w:lang w:val="de-DE"/>
              </w:rPr>
            </w:pPr>
            <w:r w:rsidRPr="009C38EB">
              <w:rPr>
                <w:lang w:val="de-DE"/>
              </w:rPr>
              <w:t>&gt;120,000.00 &lt;=130,000.00</w:t>
            </w:r>
          </w:p>
          <w:p w:rsidR="009A76A4" w:rsidRPr="009C38EB" w:rsidRDefault="009A76A4" w:rsidP="009A76A4">
            <w:pPr>
              <w:spacing w:after="0" w:line="240" w:lineRule="auto"/>
              <w:jc w:val="both"/>
              <w:rPr>
                <w:lang w:val="de-DE"/>
              </w:rPr>
            </w:pPr>
            <w:r w:rsidRPr="009C38EB">
              <w:rPr>
                <w:lang w:val="de-DE"/>
              </w:rPr>
              <w:t>&gt;130,000.00 &lt;=140,000.00</w:t>
            </w:r>
          </w:p>
          <w:p w:rsidR="009A76A4" w:rsidRPr="009C38EB" w:rsidRDefault="009A76A4" w:rsidP="009A76A4">
            <w:pPr>
              <w:spacing w:after="0" w:line="240" w:lineRule="auto"/>
              <w:jc w:val="both"/>
              <w:rPr>
                <w:lang w:val="de-DE"/>
              </w:rPr>
            </w:pPr>
            <w:r w:rsidRPr="009C38EB">
              <w:rPr>
                <w:lang w:val="de-DE"/>
              </w:rPr>
              <w:t>&gt;140,000.00 &lt;=150,000.00</w:t>
            </w:r>
          </w:p>
          <w:p w:rsidR="009A76A4" w:rsidRPr="009C38EB" w:rsidRDefault="009A76A4" w:rsidP="009A76A4">
            <w:pPr>
              <w:spacing w:after="0" w:line="240" w:lineRule="auto"/>
              <w:jc w:val="both"/>
              <w:rPr>
                <w:lang w:val="de-DE"/>
              </w:rPr>
            </w:pPr>
            <w:r w:rsidRPr="009C38EB">
              <w:rPr>
                <w:lang w:val="de-DE"/>
              </w:rPr>
              <w:t>&gt;150,000.00 &lt;=160,000.00</w:t>
            </w:r>
          </w:p>
          <w:p w:rsidR="009A76A4" w:rsidRPr="009C38EB" w:rsidRDefault="009A76A4" w:rsidP="009A76A4">
            <w:pPr>
              <w:spacing w:after="0" w:line="240" w:lineRule="auto"/>
              <w:jc w:val="both"/>
              <w:rPr>
                <w:lang w:val="de-DE"/>
              </w:rPr>
            </w:pPr>
            <w:r w:rsidRPr="009C38EB">
              <w:rPr>
                <w:lang w:val="de-DE"/>
              </w:rPr>
              <w:t>&gt;160,000.00 &lt;=170,000.00</w:t>
            </w:r>
          </w:p>
          <w:p w:rsidR="009A76A4" w:rsidRPr="009C38EB" w:rsidRDefault="009A76A4" w:rsidP="009A76A4">
            <w:pPr>
              <w:spacing w:after="0" w:line="240" w:lineRule="auto"/>
              <w:jc w:val="both"/>
              <w:rPr>
                <w:lang w:val="de-DE"/>
              </w:rPr>
            </w:pPr>
            <w:r w:rsidRPr="009C38EB">
              <w:rPr>
                <w:lang w:val="de-DE"/>
              </w:rPr>
              <w:t>&gt;170,000.00 &lt;=180,000.00</w:t>
            </w:r>
          </w:p>
          <w:p w:rsidR="009A76A4" w:rsidRPr="009C38EB" w:rsidRDefault="009A76A4" w:rsidP="009A76A4">
            <w:pPr>
              <w:spacing w:after="0" w:line="240" w:lineRule="auto"/>
              <w:jc w:val="both"/>
              <w:rPr>
                <w:lang w:val="de-DE"/>
              </w:rPr>
            </w:pPr>
            <w:r w:rsidRPr="009C38EB">
              <w:rPr>
                <w:lang w:val="de-DE"/>
              </w:rPr>
              <w:t>&gt;180,000.00 &lt;=190,000.00</w:t>
            </w:r>
          </w:p>
          <w:p w:rsidR="009A76A4" w:rsidRPr="009C38EB" w:rsidRDefault="009A76A4" w:rsidP="009A76A4">
            <w:pPr>
              <w:spacing w:after="0" w:line="240" w:lineRule="auto"/>
              <w:jc w:val="both"/>
              <w:rPr>
                <w:lang w:val="de-DE"/>
              </w:rPr>
            </w:pPr>
            <w:r w:rsidRPr="009C38EB">
              <w:rPr>
                <w:lang w:val="de-DE"/>
              </w:rPr>
              <w:t>&gt;190,000.00 &lt;=200,000.00</w:t>
            </w:r>
          </w:p>
          <w:p w:rsidR="009A76A4" w:rsidRPr="009C38EB" w:rsidRDefault="009A76A4" w:rsidP="009A76A4">
            <w:pPr>
              <w:spacing w:after="0" w:line="240" w:lineRule="auto"/>
              <w:jc w:val="both"/>
              <w:rPr>
                <w:lang w:val="de-DE"/>
              </w:rPr>
            </w:pPr>
            <w:r w:rsidRPr="009C38EB">
              <w:rPr>
                <w:lang w:val="de-DE"/>
              </w:rPr>
              <w:lastRenderedPageBreak/>
              <w:t>&gt;200,000.00 &lt;=210,000.00</w:t>
            </w:r>
          </w:p>
          <w:p w:rsidR="009A76A4" w:rsidRPr="009C38EB" w:rsidRDefault="009A76A4" w:rsidP="009A76A4">
            <w:pPr>
              <w:spacing w:after="0" w:line="240" w:lineRule="auto"/>
              <w:jc w:val="both"/>
              <w:rPr>
                <w:lang w:val="de-DE"/>
              </w:rPr>
            </w:pPr>
            <w:r w:rsidRPr="009C38EB">
              <w:rPr>
                <w:lang w:val="de-DE"/>
              </w:rPr>
              <w:t>&gt;210,000.00 &lt;=220,000.00</w:t>
            </w:r>
          </w:p>
          <w:p w:rsidR="009A76A4" w:rsidRPr="005D5B80" w:rsidRDefault="009A76A4" w:rsidP="009A76A4">
            <w:pPr>
              <w:spacing w:after="0" w:line="240" w:lineRule="auto"/>
              <w:jc w:val="both"/>
              <w:rPr>
                <w:lang w:val="de-DE"/>
              </w:rPr>
            </w:pPr>
            <w:r w:rsidRPr="009C38EB">
              <w:rPr>
                <w:lang w:val="de-DE"/>
              </w:rPr>
              <w:t>&gt;220,000.00</w:t>
            </w:r>
          </w:p>
        </w:tc>
        <w:tc>
          <w:tcPr>
            <w:tcW w:w="3685" w:type="dxa"/>
          </w:tcPr>
          <w:p w:rsidR="009A76A4" w:rsidRPr="005D5B80" w:rsidRDefault="009A76A4" w:rsidP="009A76A4">
            <w:pPr>
              <w:spacing w:after="0" w:line="240" w:lineRule="auto"/>
              <w:jc w:val="both"/>
              <w:rPr>
                <w:lang w:val="en-BE"/>
              </w:rPr>
            </w:pPr>
            <w:r>
              <w:rPr>
                <w:lang w:val="en-BE"/>
              </w:rPr>
              <w:lastRenderedPageBreak/>
              <w:t>Not present</w:t>
            </w:r>
          </w:p>
        </w:tc>
      </w:tr>
      <w:tr w:rsidR="009A76A4" w:rsidRPr="005D5B80" w:rsidTr="009A76A4">
        <w:tc>
          <w:tcPr>
            <w:tcW w:w="1838" w:type="dxa"/>
          </w:tcPr>
          <w:p w:rsidR="009A76A4" w:rsidRPr="005D5B80" w:rsidRDefault="009A76A4" w:rsidP="009A76A4">
            <w:pPr>
              <w:jc w:val="both"/>
              <w:rPr>
                <w:lang w:val="en-BE"/>
              </w:rPr>
            </w:pPr>
            <w:r>
              <w:rPr>
                <w:lang w:val="en-BE"/>
              </w:rPr>
              <w:t>Finland</w:t>
            </w:r>
          </w:p>
        </w:tc>
        <w:tc>
          <w:tcPr>
            <w:tcW w:w="4111" w:type="dxa"/>
          </w:tcPr>
          <w:p w:rsidR="009A76A4" w:rsidRPr="005D5B80" w:rsidRDefault="009A76A4" w:rsidP="009A76A4">
            <w:pPr>
              <w:spacing w:after="0" w:line="240" w:lineRule="auto"/>
              <w:rPr>
                <w:lang w:val="de-DE"/>
              </w:rPr>
            </w:pPr>
            <w:r w:rsidRPr="00F51819">
              <w:rPr>
                <w:lang w:val="en-GB"/>
              </w:rPr>
              <w:t>0 - 0,025000</w:t>
            </w:r>
            <w:r>
              <w:rPr>
                <w:lang w:val="en-GB"/>
              </w:rPr>
              <w:br/>
            </w:r>
            <w:r w:rsidRPr="00F51819">
              <w:rPr>
                <w:lang w:val="en-GB"/>
              </w:rPr>
              <w:t>0,025001 - 0,050000</w:t>
            </w:r>
            <w:r>
              <w:rPr>
                <w:lang w:val="en-GB"/>
              </w:rPr>
              <w:br/>
            </w:r>
            <w:r w:rsidRPr="00F51819">
              <w:rPr>
                <w:lang w:val="en-GB"/>
              </w:rPr>
              <w:t>0,050001 - 0,100000</w:t>
            </w:r>
            <w:r>
              <w:rPr>
                <w:lang w:val="en-GB"/>
              </w:rPr>
              <w:br/>
            </w:r>
            <w:r w:rsidRPr="00F51819">
              <w:rPr>
                <w:lang w:val="en-GB"/>
              </w:rPr>
              <w:t>0,100001 - 0,150000</w:t>
            </w:r>
            <w:r>
              <w:rPr>
                <w:lang w:val="en-GB"/>
              </w:rPr>
              <w:br/>
              <w:t>0</w:t>
            </w:r>
            <w:r w:rsidRPr="00F51819">
              <w:rPr>
                <w:lang w:val="en-GB"/>
              </w:rPr>
              <w:t>,150001 - 0,200 000</w:t>
            </w:r>
            <w:r>
              <w:rPr>
                <w:lang w:val="en-GB"/>
              </w:rPr>
              <w:br/>
            </w:r>
            <w:r w:rsidRPr="00F51819">
              <w:rPr>
                <w:lang w:val="en-GB"/>
              </w:rPr>
              <w:t>0,200001 - 0,250000</w:t>
            </w:r>
            <w:r>
              <w:rPr>
                <w:lang w:val="en-GB"/>
              </w:rPr>
              <w:br/>
            </w:r>
            <w:r w:rsidRPr="00F51819">
              <w:rPr>
                <w:lang w:val="en-GB"/>
              </w:rPr>
              <w:t>0,250001 - 0,300000</w:t>
            </w:r>
            <w:r>
              <w:rPr>
                <w:lang w:val="en-GB"/>
              </w:rPr>
              <w:br/>
            </w:r>
            <w:r w:rsidRPr="00F51819">
              <w:rPr>
                <w:lang w:val="en-GB"/>
              </w:rPr>
              <w:t>0,300001 -</w:t>
            </w:r>
          </w:p>
        </w:tc>
        <w:tc>
          <w:tcPr>
            <w:tcW w:w="3685" w:type="dxa"/>
          </w:tcPr>
          <w:p w:rsidR="009A76A4" w:rsidRPr="005D5B80" w:rsidRDefault="009A76A4" w:rsidP="009A76A4">
            <w:pPr>
              <w:spacing w:after="0" w:line="240" w:lineRule="auto"/>
              <w:jc w:val="both"/>
              <w:rPr>
                <w:lang w:val="en-BE"/>
              </w:rPr>
            </w:pPr>
            <w:r>
              <w:rPr>
                <w:lang w:val="en-BE"/>
              </w:rPr>
              <w:t>Not present</w:t>
            </w:r>
          </w:p>
        </w:tc>
      </w:tr>
      <w:tr w:rsidR="009A76A4" w:rsidRPr="005D5B80" w:rsidTr="009A76A4">
        <w:tc>
          <w:tcPr>
            <w:tcW w:w="1838" w:type="dxa"/>
          </w:tcPr>
          <w:p w:rsidR="009A76A4" w:rsidRPr="005D5B80" w:rsidRDefault="009A76A4" w:rsidP="009A76A4">
            <w:pPr>
              <w:jc w:val="both"/>
              <w:rPr>
                <w:lang w:val="en-BE"/>
              </w:rPr>
            </w:pPr>
            <w:r>
              <w:rPr>
                <w:lang w:val="en-BE"/>
              </w:rPr>
              <w:t>France</w:t>
            </w:r>
          </w:p>
        </w:tc>
        <w:tc>
          <w:tcPr>
            <w:tcW w:w="4111" w:type="dxa"/>
          </w:tcPr>
          <w:p w:rsidR="009A76A4" w:rsidRPr="005D5B80" w:rsidRDefault="009A76A4" w:rsidP="009A76A4">
            <w:pPr>
              <w:spacing w:after="0" w:line="240" w:lineRule="auto"/>
              <w:rPr>
                <w:lang w:val="de-DE"/>
              </w:rPr>
            </w:pPr>
            <w:r w:rsidRPr="00AC1717">
              <w:rPr>
                <w:lang w:val="en-GB"/>
              </w:rPr>
              <w:t>&lt;=200.000,00</w:t>
            </w:r>
            <w:r>
              <w:rPr>
                <w:lang w:val="en-GB"/>
              </w:rPr>
              <w:br/>
            </w:r>
            <w:r w:rsidRPr="00AC1717">
              <w:rPr>
                <w:lang w:val="en-GB"/>
              </w:rPr>
              <w:t>&gt;200.000,00 &lt;=400.000,</w:t>
            </w:r>
            <w:r>
              <w:rPr>
                <w:lang w:val="en-GB"/>
              </w:rPr>
              <w:t>00</w:t>
            </w:r>
            <w:r>
              <w:rPr>
                <w:lang w:val="en-GB"/>
              </w:rPr>
              <w:br/>
            </w:r>
            <w:r w:rsidRPr="00AC1717">
              <w:rPr>
                <w:lang w:val="en-GB"/>
              </w:rPr>
              <w:t>&gt;400.000,00 &lt;=600.000,00</w:t>
            </w:r>
            <w:r>
              <w:rPr>
                <w:lang w:val="en-GB"/>
              </w:rPr>
              <w:br/>
            </w:r>
            <w:r w:rsidRPr="00AC1717">
              <w:rPr>
                <w:lang w:val="en-GB"/>
              </w:rPr>
              <w:t>&gt;600.000,00 &lt;=800.000,00</w:t>
            </w:r>
            <w:r>
              <w:rPr>
                <w:lang w:val="en-GB"/>
              </w:rPr>
              <w:br/>
            </w:r>
            <w:r w:rsidRPr="00AC1717">
              <w:rPr>
                <w:lang w:val="en-GB"/>
              </w:rPr>
              <w:t>&gt;800.000,00 &lt;=1.000.000,00</w:t>
            </w:r>
            <w:r>
              <w:rPr>
                <w:lang w:val="en-GB"/>
              </w:rPr>
              <w:br/>
            </w:r>
            <w:r w:rsidRPr="00AC1717">
              <w:rPr>
                <w:lang w:val="en-GB"/>
              </w:rPr>
              <w:t>1,000,000.00 &gt;</w:t>
            </w:r>
          </w:p>
        </w:tc>
        <w:tc>
          <w:tcPr>
            <w:tcW w:w="3685" w:type="dxa"/>
          </w:tcPr>
          <w:p w:rsidR="009A76A4" w:rsidRPr="005D5B80" w:rsidRDefault="009A76A4" w:rsidP="009A76A4">
            <w:pPr>
              <w:spacing w:after="0" w:line="240" w:lineRule="auto"/>
              <w:rPr>
                <w:lang w:val="de-DE"/>
              </w:rPr>
            </w:pPr>
            <w:r w:rsidRPr="00AC1717">
              <w:rPr>
                <w:lang w:val="en-GB"/>
              </w:rPr>
              <w:t>&lt;=200.000,00</w:t>
            </w:r>
            <w:r>
              <w:rPr>
                <w:lang w:val="en-GB"/>
              </w:rPr>
              <w:br/>
            </w:r>
            <w:r w:rsidRPr="00AC1717">
              <w:rPr>
                <w:lang w:val="en-GB"/>
              </w:rPr>
              <w:t>&gt;200.000,00 &lt;=400.000,</w:t>
            </w:r>
            <w:r>
              <w:rPr>
                <w:lang w:val="en-GB"/>
              </w:rPr>
              <w:t>00</w:t>
            </w:r>
            <w:r>
              <w:rPr>
                <w:lang w:val="en-GB"/>
              </w:rPr>
              <w:br/>
            </w:r>
            <w:r w:rsidRPr="00AC1717">
              <w:rPr>
                <w:lang w:val="en-GB"/>
              </w:rPr>
              <w:t>&gt;400.000,00 &lt;=600.000,00</w:t>
            </w:r>
            <w:r>
              <w:rPr>
                <w:lang w:val="en-GB"/>
              </w:rPr>
              <w:br/>
            </w:r>
            <w:r w:rsidRPr="00AC1717">
              <w:rPr>
                <w:lang w:val="en-GB"/>
              </w:rPr>
              <w:t>&gt;600.000,00 &lt;=800.000,00</w:t>
            </w:r>
            <w:r>
              <w:rPr>
                <w:lang w:val="en-GB"/>
              </w:rPr>
              <w:br/>
            </w:r>
            <w:r w:rsidRPr="00AC1717">
              <w:rPr>
                <w:lang w:val="en-GB"/>
              </w:rPr>
              <w:t>&gt;800.000,00 &lt;=1.000.000,00</w:t>
            </w:r>
            <w:r>
              <w:rPr>
                <w:lang w:val="en-GB"/>
              </w:rPr>
              <w:br/>
            </w:r>
            <w:r w:rsidRPr="00AC1717">
              <w:rPr>
                <w:lang w:val="en-GB"/>
              </w:rPr>
              <w:t>1,000,000.00 &gt;</w:t>
            </w:r>
          </w:p>
        </w:tc>
      </w:tr>
      <w:tr w:rsidR="009A76A4" w:rsidRPr="005D5B80" w:rsidTr="009A76A4">
        <w:tc>
          <w:tcPr>
            <w:tcW w:w="1838" w:type="dxa"/>
          </w:tcPr>
          <w:p w:rsidR="009A76A4" w:rsidRDefault="009A76A4" w:rsidP="009A76A4">
            <w:pPr>
              <w:jc w:val="both"/>
              <w:rPr>
                <w:lang w:val="en-BE"/>
              </w:rPr>
            </w:pPr>
            <w:r>
              <w:rPr>
                <w:lang w:val="en-BE"/>
              </w:rPr>
              <w:t>Germany</w:t>
            </w:r>
          </w:p>
        </w:tc>
        <w:tc>
          <w:tcPr>
            <w:tcW w:w="4111" w:type="dxa"/>
          </w:tcPr>
          <w:p w:rsidR="009A76A4" w:rsidRPr="00AC1717" w:rsidRDefault="009A76A4" w:rsidP="009A76A4">
            <w:pPr>
              <w:spacing w:after="0" w:line="240" w:lineRule="auto"/>
              <w:rPr>
                <w:lang w:val="en-GB"/>
              </w:rPr>
            </w:pPr>
            <w:r w:rsidRPr="002C6481">
              <w:rPr>
                <w:lang w:val="en-GB"/>
              </w:rPr>
              <w:t>up to 300,000 Euros</w:t>
            </w:r>
            <w:r>
              <w:rPr>
                <w:lang w:val="en-GB"/>
              </w:rPr>
              <w:br/>
            </w:r>
            <w:r w:rsidRPr="002C6481">
              <w:rPr>
                <w:lang w:val="en-GB"/>
              </w:rPr>
              <w:t>more than 300,000 Euros up to 1 mn. Euros</w:t>
            </w:r>
            <w:r>
              <w:rPr>
                <w:lang w:val="en-GB"/>
              </w:rPr>
              <w:br/>
            </w:r>
            <w:r w:rsidRPr="002C6481">
              <w:rPr>
                <w:lang w:val="en-GB"/>
              </w:rPr>
              <w:t>more than 1 mn. Euros up to 10 mn. Euros</w:t>
            </w:r>
            <w:r>
              <w:rPr>
                <w:lang w:val="en-GB"/>
              </w:rPr>
              <w:br/>
            </w:r>
            <w:r w:rsidRPr="002C6481">
              <w:rPr>
                <w:lang w:val="en-GB"/>
              </w:rPr>
              <w:t>more than 10 mn. Euros</w:t>
            </w:r>
          </w:p>
        </w:tc>
        <w:tc>
          <w:tcPr>
            <w:tcW w:w="3685" w:type="dxa"/>
          </w:tcPr>
          <w:p w:rsidR="009A76A4" w:rsidRPr="00AC1717" w:rsidRDefault="009A76A4" w:rsidP="009A76A4">
            <w:pPr>
              <w:spacing w:after="0" w:line="240" w:lineRule="auto"/>
              <w:rPr>
                <w:lang w:val="en-GB"/>
              </w:rPr>
            </w:pPr>
            <w:r w:rsidRPr="002C6481">
              <w:rPr>
                <w:lang w:val="en-GB"/>
              </w:rPr>
              <w:t>up to 300,000 Euros</w:t>
            </w:r>
            <w:r>
              <w:rPr>
                <w:lang w:val="en-GB"/>
              </w:rPr>
              <w:br/>
            </w:r>
            <w:r w:rsidRPr="002C6481">
              <w:rPr>
                <w:lang w:val="en-GB"/>
              </w:rPr>
              <w:t>more than 300,000 Euros up to 1 mn. Euros</w:t>
            </w:r>
            <w:r>
              <w:rPr>
                <w:lang w:val="en-GB"/>
              </w:rPr>
              <w:br/>
            </w:r>
            <w:r w:rsidRPr="002C6481">
              <w:rPr>
                <w:lang w:val="en-GB"/>
              </w:rPr>
              <w:t>more than 1 mn. Euros up to 10 mn. Euros</w:t>
            </w:r>
            <w:r>
              <w:rPr>
                <w:lang w:val="en-GB"/>
              </w:rPr>
              <w:br/>
            </w:r>
            <w:r w:rsidRPr="002C6481">
              <w:rPr>
                <w:lang w:val="en-GB"/>
              </w:rPr>
              <w:t>more than 10 mn. Euros</w:t>
            </w:r>
          </w:p>
        </w:tc>
      </w:tr>
      <w:tr w:rsidR="009A76A4" w:rsidRPr="005D5B80" w:rsidTr="009A76A4">
        <w:tc>
          <w:tcPr>
            <w:tcW w:w="1838" w:type="dxa"/>
          </w:tcPr>
          <w:p w:rsidR="009A76A4" w:rsidRDefault="009A76A4" w:rsidP="009A76A4">
            <w:pPr>
              <w:jc w:val="both"/>
              <w:rPr>
                <w:lang w:val="en-BE"/>
              </w:rPr>
            </w:pPr>
            <w:r>
              <w:rPr>
                <w:lang w:val="en-BE"/>
              </w:rPr>
              <w:t>Greece</w:t>
            </w:r>
          </w:p>
        </w:tc>
        <w:tc>
          <w:tcPr>
            <w:tcW w:w="4111" w:type="dxa"/>
          </w:tcPr>
          <w:p w:rsidR="009A76A4" w:rsidRPr="00AC1717" w:rsidRDefault="009A76A4" w:rsidP="009A76A4">
            <w:pPr>
              <w:spacing w:after="0" w:line="240" w:lineRule="auto"/>
              <w:rPr>
                <w:lang w:val="en-GB"/>
              </w:rPr>
            </w:pPr>
            <w:r w:rsidRPr="00076A98">
              <w:rPr>
                <w:lang w:val="en-GB"/>
              </w:rPr>
              <w:t>up to 37,500 Euros</w:t>
            </w:r>
            <w:r>
              <w:rPr>
                <w:lang w:val="en-GB"/>
              </w:rPr>
              <w:br/>
            </w:r>
            <w:r w:rsidRPr="00076A98">
              <w:rPr>
                <w:lang w:val="en-GB"/>
              </w:rPr>
              <w:t>More than 37,500 Euros  up to 75,000 Euros</w:t>
            </w:r>
            <w:r>
              <w:rPr>
                <w:lang w:val="en-GB"/>
              </w:rPr>
              <w:br/>
            </w:r>
            <w:r w:rsidRPr="00076A98">
              <w:rPr>
                <w:lang w:val="en-GB"/>
              </w:rPr>
              <w:t>More than 75,000 Euros  up to 100,000 Euros</w:t>
            </w:r>
            <w:r>
              <w:rPr>
                <w:lang w:val="en-GB"/>
              </w:rPr>
              <w:br/>
            </w:r>
            <w:r w:rsidRPr="00076A98">
              <w:rPr>
                <w:lang w:val="en-GB"/>
              </w:rPr>
              <w:t>More than 100,000 Euros  up to 150,000 Euros</w:t>
            </w:r>
            <w:r>
              <w:rPr>
                <w:lang w:val="en-GB"/>
              </w:rPr>
              <w:br/>
            </w:r>
            <w:r w:rsidRPr="00076A98">
              <w:rPr>
                <w:lang w:val="en-GB"/>
              </w:rPr>
              <w:t>More than 150,000 Euros</w:t>
            </w:r>
          </w:p>
        </w:tc>
        <w:tc>
          <w:tcPr>
            <w:tcW w:w="3685" w:type="dxa"/>
          </w:tcPr>
          <w:p w:rsidR="009A76A4" w:rsidRPr="005D5B80" w:rsidRDefault="009A76A4" w:rsidP="009A76A4">
            <w:pPr>
              <w:spacing w:after="0" w:line="240" w:lineRule="auto"/>
              <w:rPr>
                <w:lang w:val="en-BE"/>
              </w:rPr>
            </w:pPr>
            <w:r>
              <w:rPr>
                <w:lang w:val="en-BE"/>
              </w:rPr>
              <w:t>Not present</w:t>
            </w:r>
          </w:p>
        </w:tc>
      </w:tr>
      <w:tr w:rsidR="009A76A4" w:rsidRPr="005D5B80" w:rsidTr="009A76A4">
        <w:tc>
          <w:tcPr>
            <w:tcW w:w="1838" w:type="dxa"/>
          </w:tcPr>
          <w:p w:rsidR="009A76A4" w:rsidRDefault="009A76A4" w:rsidP="009A76A4">
            <w:pPr>
              <w:jc w:val="both"/>
              <w:rPr>
                <w:lang w:val="en-BE"/>
              </w:rPr>
            </w:pPr>
            <w:r>
              <w:rPr>
                <w:lang w:val="en-BE"/>
              </w:rPr>
              <w:t>Ireland</w:t>
            </w:r>
          </w:p>
        </w:tc>
        <w:tc>
          <w:tcPr>
            <w:tcW w:w="4111" w:type="dxa"/>
          </w:tcPr>
          <w:p w:rsidR="009A76A4" w:rsidRPr="005D5B80" w:rsidRDefault="009A76A4" w:rsidP="009A76A4">
            <w:pPr>
              <w:spacing w:after="0" w:line="240" w:lineRule="auto"/>
              <w:rPr>
                <w:lang w:val="en-BE"/>
              </w:rPr>
            </w:pPr>
            <w:r w:rsidRPr="005D5B80">
              <w:rPr>
                <w:lang w:val="en-BE"/>
              </w:rPr>
              <w:t>0-5k</w:t>
            </w:r>
            <w:r w:rsidRPr="005D5B80">
              <w:rPr>
                <w:lang w:val="en-BE"/>
              </w:rPr>
              <w:br/>
              <w:t>5k-10k</w:t>
            </w:r>
            <w:r w:rsidRPr="005D5B80">
              <w:rPr>
                <w:lang w:val="en-BE"/>
              </w:rPr>
              <w:br/>
              <w:t>10k-25k</w:t>
            </w:r>
            <w:r w:rsidRPr="005D5B80">
              <w:rPr>
                <w:lang w:val="en-BE"/>
              </w:rPr>
              <w:br/>
              <w:t>25k-50k</w:t>
            </w:r>
            <w:r w:rsidRPr="005D5B80">
              <w:rPr>
                <w:lang w:val="en-BE"/>
              </w:rPr>
              <w:br/>
              <w:t>50k-75k</w:t>
            </w:r>
            <w:r w:rsidRPr="005D5B80">
              <w:rPr>
                <w:lang w:val="en-BE"/>
              </w:rPr>
              <w:br/>
              <w:t>75k-100k</w:t>
            </w:r>
            <w:r w:rsidRPr="005D5B80">
              <w:rPr>
                <w:lang w:val="en-BE"/>
              </w:rPr>
              <w:br/>
              <w:t>100k-150k</w:t>
            </w:r>
            <w:r w:rsidRPr="005D5B80">
              <w:rPr>
                <w:lang w:val="en-BE"/>
              </w:rPr>
              <w:br/>
              <w:t>150k-200k</w:t>
            </w:r>
            <w:r w:rsidRPr="005D5B80">
              <w:rPr>
                <w:lang w:val="en-BE"/>
              </w:rPr>
              <w:br/>
              <w:t>200k-250k</w:t>
            </w:r>
            <w:r w:rsidRPr="005D5B80">
              <w:rPr>
                <w:lang w:val="en-BE"/>
              </w:rPr>
              <w:br/>
              <w:t>250k-300k</w:t>
            </w:r>
            <w:r w:rsidRPr="005D5B80">
              <w:rPr>
                <w:lang w:val="en-BE"/>
              </w:rPr>
              <w:br/>
              <w:t>300k-350k</w:t>
            </w:r>
            <w:r w:rsidRPr="005D5B80">
              <w:rPr>
                <w:lang w:val="en-BE"/>
              </w:rPr>
              <w:br/>
              <w:t>350k-400k</w:t>
            </w:r>
            <w:r w:rsidRPr="005D5B80">
              <w:rPr>
                <w:lang w:val="en-BE"/>
              </w:rPr>
              <w:br/>
              <w:t>400k-450k</w:t>
            </w:r>
            <w:r w:rsidRPr="005D5B80">
              <w:rPr>
                <w:lang w:val="en-BE"/>
              </w:rPr>
              <w:br/>
              <w:t>450k-500k</w:t>
            </w:r>
            <w:r w:rsidRPr="005D5B80">
              <w:rPr>
                <w:lang w:val="en-BE"/>
              </w:rPr>
              <w:br/>
              <w:t>500k-600k</w:t>
            </w:r>
            <w:r w:rsidRPr="005D5B80">
              <w:rPr>
                <w:lang w:val="en-BE"/>
              </w:rPr>
              <w:br/>
              <w:t>600k-700k</w:t>
            </w:r>
            <w:r w:rsidRPr="005D5B80">
              <w:rPr>
                <w:lang w:val="en-BE"/>
              </w:rPr>
              <w:br/>
              <w:t>700k-800k</w:t>
            </w:r>
            <w:r w:rsidRPr="005D5B80">
              <w:rPr>
                <w:lang w:val="en-BE"/>
              </w:rPr>
              <w:br/>
            </w:r>
            <w:r w:rsidRPr="005D5B80">
              <w:rPr>
                <w:lang w:val="en-BE"/>
              </w:rPr>
              <w:lastRenderedPageBreak/>
              <w:t>800k-900k</w:t>
            </w:r>
            <w:r w:rsidRPr="005D5B80">
              <w:rPr>
                <w:lang w:val="en-BE"/>
              </w:rPr>
              <w:br/>
              <w:t>900k-1m</w:t>
            </w:r>
            <w:r w:rsidRPr="005D5B80">
              <w:rPr>
                <w:lang w:val="en-BE"/>
              </w:rPr>
              <w:br/>
              <w:t>1m +</w:t>
            </w:r>
          </w:p>
        </w:tc>
        <w:tc>
          <w:tcPr>
            <w:tcW w:w="3685" w:type="dxa"/>
          </w:tcPr>
          <w:p w:rsidR="009A76A4" w:rsidRPr="005D5B80" w:rsidRDefault="009A76A4" w:rsidP="009A76A4">
            <w:pPr>
              <w:spacing w:after="0" w:line="240" w:lineRule="auto"/>
              <w:rPr>
                <w:lang w:val="en-BE"/>
              </w:rPr>
            </w:pPr>
            <w:r>
              <w:rPr>
                <w:lang w:val="en-BE"/>
              </w:rPr>
              <w:lastRenderedPageBreak/>
              <w:t>Not present</w:t>
            </w:r>
          </w:p>
        </w:tc>
      </w:tr>
      <w:tr w:rsidR="009A76A4" w:rsidRPr="009A76A4" w:rsidTr="009A76A4">
        <w:tc>
          <w:tcPr>
            <w:tcW w:w="1838" w:type="dxa"/>
          </w:tcPr>
          <w:p w:rsidR="009A76A4" w:rsidRDefault="009A76A4" w:rsidP="009A76A4">
            <w:pPr>
              <w:jc w:val="both"/>
              <w:rPr>
                <w:lang w:val="en-BE"/>
              </w:rPr>
            </w:pPr>
            <w:r>
              <w:rPr>
                <w:lang w:val="en-BE"/>
              </w:rPr>
              <w:t>Italy</w:t>
            </w:r>
          </w:p>
        </w:tc>
        <w:tc>
          <w:tcPr>
            <w:tcW w:w="4111" w:type="dxa"/>
          </w:tcPr>
          <w:p w:rsidR="009A76A4" w:rsidRPr="005D5B80" w:rsidRDefault="009A76A4" w:rsidP="009A76A4">
            <w:pPr>
              <w:spacing w:after="0" w:line="240" w:lineRule="auto"/>
              <w:rPr>
                <w:lang w:val="en-BE"/>
              </w:rPr>
            </w:pPr>
            <w:r w:rsidRPr="002C6481">
              <w:rPr>
                <w:lang w:val="en-GB"/>
              </w:rPr>
              <w:t>0 (included) – 10k</w:t>
            </w:r>
            <w:r>
              <w:rPr>
                <w:lang w:val="en-GB"/>
              </w:rPr>
              <w:br/>
              <w:t>1</w:t>
            </w:r>
            <w:r w:rsidRPr="002C6481">
              <w:rPr>
                <w:lang w:val="en-GB"/>
              </w:rPr>
              <w:t>0k (Included) – 25k</w:t>
            </w:r>
            <w:r>
              <w:rPr>
                <w:lang w:val="en-GB"/>
              </w:rPr>
              <w:br/>
            </w:r>
            <w:r w:rsidRPr="002C6481">
              <w:rPr>
                <w:lang w:val="en-GB"/>
              </w:rPr>
              <w:t>25k ( Included ) – 50k</w:t>
            </w:r>
            <w:r>
              <w:rPr>
                <w:lang w:val="en-GB"/>
              </w:rPr>
              <w:br/>
            </w:r>
            <w:r w:rsidRPr="002C6481">
              <w:rPr>
                <w:lang w:val="en-GB"/>
              </w:rPr>
              <w:t xml:space="preserve">50k ( Included ) – 75k </w:t>
            </w:r>
            <w:r>
              <w:rPr>
                <w:lang w:val="en-GB"/>
              </w:rPr>
              <w:br/>
            </w:r>
            <w:r w:rsidRPr="002C6481">
              <w:rPr>
                <w:lang w:val="en-GB"/>
              </w:rPr>
              <w:t xml:space="preserve">75k (Included) – 100k </w:t>
            </w:r>
            <w:r>
              <w:rPr>
                <w:lang w:val="en-GB"/>
              </w:rPr>
              <w:br/>
            </w:r>
            <w:r w:rsidRPr="002C6481">
              <w:rPr>
                <w:lang w:val="en-GB"/>
              </w:rPr>
              <w:t>100k (Included) – 150k</w:t>
            </w:r>
            <w:r>
              <w:rPr>
                <w:lang w:val="en-GB"/>
              </w:rPr>
              <w:br/>
            </w:r>
            <w:r w:rsidRPr="002C6481">
              <w:rPr>
                <w:lang w:val="en-GB"/>
              </w:rPr>
              <w:t>150k (Included) – 200k</w:t>
            </w:r>
            <w:r>
              <w:rPr>
                <w:lang w:val="en-GB"/>
              </w:rPr>
              <w:br/>
            </w:r>
            <w:r w:rsidRPr="002C6481">
              <w:rPr>
                <w:lang w:val="en-GB"/>
              </w:rPr>
              <w:t xml:space="preserve">200k (Included) – 300k </w:t>
            </w:r>
            <w:r>
              <w:rPr>
                <w:lang w:val="en-GB"/>
              </w:rPr>
              <w:br/>
            </w:r>
            <w:r w:rsidRPr="002C6481">
              <w:rPr>
                <w:lang w:val="en-GB"/>
              </w:rPr>
              <w:t xml:space="preserve"> Over 300k (Included)</w:t>
            </w:r>
          </w:p>
        </w:tc>
        <w:tc>
          <w:tcPr>
            <w:tcW w:w="3685" w:type="dxa"/>
          </w:tcPr>
          <w:p w:rsidR="009A76A4" w:rsidRPr="005D5B80" w:rsidRDefault="009A76A4" w:rsidP="009A76A4">
            <w:pPr>
              <w:spacing w:after="0" w:line="240" w:lineRule="auto"/>
              <w:rPr>
                <w:lang w:val="en-BE"/>
              </w:rPr>
            </w:pPr>
            <w:r w:rsidRPr="002C6481">
              <w:rPr>
                <w:lang w:val="en-GB"/>
              </w:rPr>
              <w:t>0 (included) – 10k</w:t>
            </w:r>
            <w:r>
              <w:rPr>
                <w:lang w:val="en-GB"/>
              </w:rPr>
              <w:br/>
            </w:r>
            <w:r w:rsidRPr="002C6481">
              <w:rPr>
                <w:lang w:val="en-GB"/>
              </w:rPr>
              <w:t>10k (Included) – 25k</w:t>
            </w:r>
            <w:r>
              <w:rPr>
                <w:lang w:val="en-GB"/>
              </w:rPr>
              <w:br/>
            </w:r>
            <w:r w:rsidRPr="002C6481">
              <w:rPr>
                <w:lang w:val="en-GB"/>
              </w:rPr>
              <w:t xml:space="preserve"> 25k ( Included ) – 50k</w:t>
            </w:r>
            <w:r>
              <w:rPr>
                <w:lang w:val="en-GB"/>
              </w:rPr>
              <w:br/>
            </w:r>
            <w:r w:rsidRPr="002C6481">
              <w:rPr>
                <w:lang w:val="en-GB"/>
              </w:rPr>
              <w:t xml:space="preserve">50k ( Included ) – 75k </w:t>
            </w:r>
            <w:r>
              <w:rPr>
                <w:lang w:val="en-GB"/>
              </w:rPr>
              <w:br/>
            </w:r>
            <w:r w:rsidRPr="002C6481">
              <w:rPr>
                <w:lang w:val="en-GB"/>
              </w:rPr>
              <w:t xml:space="preserve">75k (Included) – 100k    </w:t>
            </w:r>
            <w:r>
              <w:rPr>
                <w:lang w:val="en-GB"/>
              </w:rPr>
              <w:br/>
            </w:r>
            <w:r w:rsidRPr="002C6481">
              <w:rPr>
                <w:lang w:val="en-GB"/>
              </w:rPr>
              <w:t>100k (Included) – 150k</w:t>
            </w:r>
            <w:r>
              <w:rPr>
                <w:lang w:val="en-GB"/>
              </w:rPr>
              <w:br/>
            </w:r>
            <w:r w:rsidRPr="002C6481">
              <w:rPr>
                <w:lang w:val="en-GB"/>
              </w:rPr>
              <w:t>150k (Included) – 200k</w:t>
            </w:r>
            <w:r>
              <w:rPr>
                <w:lang w:val="en-GB"/>
              </w:rPr>
              <w:br/>
            </w:r>
            <w:r w:rsidRPr="002C6481">
              <w:rPr>
                <w:lang w:val="en-GB"/>
              </w:rPr>
              <w:t xml:space="preserve">200k (Included) – 300k </w:t>
            </w:r>
            <w:r>
              <w:rPr>
                <w:lang w:val="en-GB"/>
              </w:rPr>
              <w:br/>
            </w:r>
            <w:r w:rsidRPr="002C6481">
              <w:rPr>
                <w:lang w:val="en-GB"/>
              </w:rPr>
              <w:t xml:space="preserve"> Over 300k (Included)</w:t>
            </w:r>
          </w:p>
        </w:tc>
      </w:tr>
      <w:tr w:rsidR="009A76A4" w:rsidRPr="005D5B80" w:rsidTr="009A76A4">
        <w:tc>
          <w:tcPr>
            <w:tcW w:w="1838" w:type="dxa"/>
          </w:tcPr>
          <w:p w:rsidR="009A76A4" w:rsidRDefault="009A76A4" w:rsidP="009A76A4">
            <w:pPr>
              <w:jc w:val="both"/>
              <w:rPr>
                <w:lang w:val="en-BE"/>
              </w:rPr>
            </w:pPr>
            <w:r>
              <w:rPr>
                <w:lang w:val="en-BE"/>
              </w:rPr>
              <w:t>Netherlands</w:t>
            </w:r>
          </w:p>
        </w:tc>
        <w:tc>
          <w:tcPr>
            <w:tcW w:w="4111" w:type="dxa"/>
          </w:tcPr>
          <w:p w:rsidR="009A76A4" w:rsidRPr="005D5B80" w:rsidRDefault="009A76A4" w:rsidP="009A76A4">
            <w:pPr>
              <w:spacing w:after="0" w:line="240" w:lineRule="auto"/>
              <w:rPr>
                <w:lang w:val="en-BE"/>
              </w:rPr>
            </w:pPr>
            <w:r w:rsidRPr="00494FDA">
              <w:rPr>
                <w:lang w:val="en-GB"/>
              </w:rPr>
              <w:t>&lt;=25.000,00</w:t>
            </w:r>
            <w:r>
              <w:rPr>
                <w:lang w:val="en-GB"/>
              </w:rPr>
              <w:br/>
            </w:r>
            <w:r w:rsidRPr="00494FDA">
              <w:rPr>
                <w:lang w:val="en-GB"/>
              </w:rPr>
              <w:t>&gt;25.000,00 &lt;=50.000,00</w:t>
            </w:r>
            <w:r>
              <w:rPr>
                <w:lang w:val="en-GB"/>
              </w:rPr>
              <w:br/>
            </w:r>
            <w:r w:rsidRPr="00494FDA">
              <w:rPr>
                <w:lang w:val="en-GB"/>
              </w:rPr>
              <w:t>&gt;50.000,00 &lt;=75.000,00</w:t>
            </w:r>
            <w:r>
              <w:rPr>
                <w:lang w:val="en-GB"/>
              </w:rPr>
              <w:br/>
            </w:r>
            <w:r w:rsidRPr="00494FDA">
              <w:rPr>
                <w:lang w:val="en-GB"/>
              </w:rPr>
              <w:t>&gt;75.000,00 &lt;=100.000,00</w:t>
            </w:r>
            <w:r>
              <w:rPr>
                <w:lang w:val="en-GB"/>
              </w:rPr>
              <w:br/>
            </w:r>
            <w:r w:rsidRPr="00494FDA">
              <w:rPr>
                <w:lang w:val="en-GB"/>
              </w:rPr>
              <w:t>&gt;100.000,00 &lt;=150.000,00</w:t>
            </w:r>
            <w:r>
              <w:rPr>
                <w:lang w:val="en-GB"/>
              </w:rPr>
              <w:br/>
            </w:r>
            <w:r w:rsidRPr="00494FDA">
              <w:rPr>
                <w:lang w:val="en-GB"/>
              </w:rPr>
              <w:t>&gt;150.000,00 &lt;=200.000,00</w:t>
            </w:r>
            <w:r>
              <w:rPr>
                <w:lang w:val="en-GB"/>
              </w:rPr>
              <w:br/>
            </w:r>
            <w:r w:rsidRPr="00494FDA">
              <w:rPr>
                <w:lang w:val="en-GB"/>
              </w:rPr>
              <w:t>&gt;200.000,00 &lt;=250.000,00</w:t>
            </w:r>
            <w:r>
              <w:rPr>
                <w:lang w:val="en-GB"/>
              </w:rPr>
              <w:br/>
            </w:r>
            <w:r w:rsidRPr="00494FDA">
              <w:rPr>
                <w:lang w:val="en-GB"/>
              </w:rPr>
              <w:t>&gt;250.000,00 &lt;=300.000,00</w:t>
            </w:r>
            <w:r>
              <w:rPr>
                <w:lang w:val="en-GB"/>
              </w:rPr>
              <w:br/>
            </w:r>
            <w:r w:rsidRPr="00494FDA">
              <w:rPr>
                <w:lang w:val="en-GB"/>
              </w:rPr>
              <w:t>&gt;300.000,00 &lt;=350.000,00</w:t>
            </w:r>
            <w:r>
              <w:rPr>
                <w:lang w:val="en-GB"/>
              </w:rPr>
              <w:br/>
            </w:r>
            <w:r w:rsidRPr="00494FDA">
              <w:rPr>
                <w:lang w:val="en-GB"/>
              </w:rPr>
              <w:t>&gt;350.000,00 &lt;=400.000,00</w:t>
            </w:r>
            <w:r>
              <w:rPr>
                <w:lang w:val="en-GB"/>
              </w:rPr>
              <w:br/>
            </w:r>
            <w:r w:rsidRPr="00494FDA">
              <w:rPr>
                <w:lang w:val="en-GB"/>
              </w:rPr>
              <w:t>&gt;400.000,00 &lt;=450.000,00</w:t>
            </w:r>
            <w:r>
              <w:rPr>
                <w:lang w:val="en-GB"/>
              </w:rPr>
              <w:br/>
            </w:r>
            <w:r w:rsidRPr="00494FDA">
              <w:rPr>
                <w:lang w:val="en-GB"/>
              </w:rPr>
              <w:t>&gt;450.000,00 &lt;=500.000,00</w:t>
            </w:r>
            <w:r>
              <w:rPr>
                <w:lang w:val="en-GB"/>
              </w:rPr>
              <w:br/>
            </w:r>
            <w:r w:rsidRPr="00494FDA">
              <w:rPr>
                <w:lang w:val="en-GB"/>
              </w:rPr>
              <w:t>&gt;500.000,00 &lt;=550.000,00</w:t>
            </w:r>
            <w:r>
              <w:rPr>
                <w:lang w:val="en-GB"/>
              </w:rPr>
              <w:br/>
            </w:r>
            <w:r w:rsidRPr="00494FDA">
              <w:rPr>
                <w:lang w:val="en-GB"/>
              </w:rPr>
              <w:t>&gt;550.000,00 &lt;=600.000,00</w:t>
            </w:r>
            <w:r>
              <w:rPr>
                <w:lang w:val="en-GB"/>
              </w:rPr>
              <w:br/>
            </w:r>
            <w:r w:rsidRPr="00494FDA">
              <w:rPr>
                <w:lang w:val="en-GB"/>
              </w:rPr>
              <w:t>&gt;600.000,00 &lt;=650.000,00</w:t>
            </w:r>
            <w:r>
              <w:rPr>
                <w:lang w:val="en-GB"/>
              </w:rPr>
              <w:br/>
            </w:r>
            <w:r w:rsidRPr="00494FDA">
              <w:rPr>
                <w:lang w:val="en-GB"/>
              </w:rPr>
              <w:t>&gt;650.000,00 &lt;=700.000,00</w:t>
            </w:r>
            <w:r>
              <w:rPr>
                <w:lang w:val="en-GB"/>
              </w:rPr>
              <w:br/>
            </w:r>
            <w:r w:rsidRPr="00494FDA">
              <w:rPr>
                <w:lang w:val="en-GB"/>
              </w:rPr>
              <w:t>&gt;700.000,00 &lt;=750.000,00</w:t>
            </w:r>
            <w:r>
              <w:rPr>
                <w:lang w:val="en-GB"/>
              </w:rPr>
              <w:br/>
            </w:r>
            <w:r w:rsidRPr="00494FDA">
              <w:rPr>
                <w:lang w:val="en-GB"/>
              </w:rPr>
              <w:t>&gt;750.000,00 &lt;=800.000,00</w:t>
            </w:r>
            <w:r>
              <w:rPr>
                <w:lang w:val="en-GB"/>
              </w:rPr>
              <w:br/>
            </w:r>
            <w:r w:rsidRPr="00494FDA">
              <w:rPr>
                <w:lang w:val="en-GB"/>
              </w:rPr>
              <w:t>&gt;800.000,00 &lt;=850.000,00</w:t>
            </w:r>
            <w:r>
              <w:rPr>
                <w:lang w:val="en-GB"/>
              </w:rPr>
              <w:br/>
            </w:r>
            <w:r w:rsidRPr="00494FDA">
              <w:rPr>
                <w:lang w:val="en-GB"/>
              </w:rPr>
              <w:t>&gt;850.000,00 &lt;=900.000,00</w:t>
            </w:r>
            <w:r>
              <w:rPr>
                <w:lang w:val="en-GB"/>
              </w:rPr>
              <w:br/>
            </w:r>
            <w:r w:rsidRPr="00494FDA">
              <w:rPr>
                <w:lang w:val="en-GB"/>
              </w:rPr>
              <w:t>&gt;900.000,00 &lt;=950.000,00</w:t>
            </w:r>
            <w:r>
              <w:rPr>
                <w:lang w:val="en-GB"/>
              </w:rPr>
              <w:br/>
            </w:r>
            <w:r w:rsidRPr="00494FDA">
              <w:rPr>
                <w:lang w:val="en-GB"/>
              </w:rPr>
              <w:t>&gt;950.000,00 &lt;=1.000.000,00</w:t>
            </w:r>
            <w:r>
              <w:rPr>
                <w:lang w:val="en-GB"/>
              </w:rPr>
              <w:br/>
            </w:r>
            <w:r w:rsidRPr="00494FDA">
              <w:rPr>
                <w:lang w:val="en-GB"/>
              </w:rPr>
              <w:t>&gt;1.000.000,00</w:t>
            </w:r>
          </w:p>
        </w:tc>
        <w:tc>
          <w:tcPr>
            <w:tcW w:w="3685" w:type="dxa"/>
          </w:tcPr>
          <w:p w:rsidR="009A76A4" w:rsidRPr="005D5B80" w:rsidRDefault="009A76A4" w:rsidP="009A76A4">
            <w:pPr>
              <w:spacing w:after="0" w:line="240" w:lineRule="auto"/>
              <w:rPr>
                <w:lang w:val="en-BE"/>
              </w:rPr>
            </w:pPr>
            <w:r>
              <w:rPr>
                <w:lang w:val="en-BE"/>
              </w:rPr>
              <w:t>Not present</w:t>
            </w:r>
          </w:p>
        </w:tc>
      </w:tr>
      <w:tr w:rsidR="009A76A4" w:rsidRPr="005D5B80" w:rsidTr="009A76A4">
        <w:trPr>
          <w:trHeight w:val="3750"/>
        </w:trPr>
        <w:tc>
          <w:tcPr>
            <w:tcW w:w="1838" w:type="dxa"/>
          </w:tcPr>
          <w:p w:rsidR="009A76A4" w:rsidRDefault="009A76A4" w:rsidP="009A76A4">
            <w:pPr>
              <w:jc w:val="both"/>
              <w:rPr>
                <w:lang w:val="en-BE"/>
              </w:rPr>
            </w:pPr>
            <w:r>
              <w:rPr>
                <w:lang w:val="en-BE"/>
              </w:rPr>
              <w:lastRenderedPageBreak/>
              <w:t>Norway</w:t>
            </w:r>
          </w:p>
        </w:tc>
        <w:tc>
          <w:tcPr>
            <w:tcW w:w="4111" w:type="dxa"/>
          </w:tcPr>
          <w:p w:rsidR="009A76A4" w:rsidRPr="007C5A2A" w:rsidRDefault="009A76A4" w:rsidP="009A76A4">
            <w:pPr>
              <w:spacing w:after="0" w:line="240" w:lineRule="auto"/>
              <w:rPr>
                <w:lang w:val="en-GB"/>
              </w:rPr>
            </w:pPr>
            <w:r w:rsidRPr="007C5A2A">
              <w:rPr>
                <w:lang w:val="en-GB"/>
              </w:rPr>
              <w:t>Private individuals</w:t>
            </w:r>
            <w:r>
              <w:rPr>
                <w:lang w:val="en-GB"/>
              </w:rPr>
              <w:br/>
            </w:r>
            <w:r w:rsidRPr="007C5A2A">
              <w:rPr>
                <w:lang w:val="en-GB"/>
              </w:rPr>
              <w:t xml:space="preserve"> ≤ 1</w:t>
            </w:r>
            <w:r>
              <w:rPr>
                <w:lang w:val="en-GB"/>
              </w:rPr>
              <w:br/>
            </w:r>
            <w:r w:rsidRPr="007C5A2A">
              <w:rPr>
                <w:lang w:val="en-GB"/>
              </w:rPr>
              <w:t xml:space="preserve"> &gt; 1 ≤ 2</w:t>
            </w:r>
            <w:r>
              <w:rPr>
                <w:lang w:val="en-GB"/>
              </w:rPr>
              <w:br/>
            </w:r>
            <w:r w:rsidRPr="007C5A2A">
              <w:rPr>
                <w:lang w:val="en-GB"/>
              </w:rPr>
              <w:t xml:space="preserve"> &gt; 2 ≤ 3</w:t>
            </w:r>
            <w:r>
              <w:rPr>
                <w:lang w:val="en-GB"/>
              </w:rPr>
              <w:br/>
            </w:r>
            <w:r w:rsidRPr="007C5A2A">
              <w:rPr>
                <w:lang w:val="en-GB"/>
              </w:rPr>
              <w:t xml:space="preserve"> &gt; 3 ≤ 4</w:t>
            </w:r>
            <w:r>
              <w:rPr>
                <w:lang w:val="en-GB"/>
              </w:rPr>
              <w:br/>
            </w:r>
            <w:r w:rsidRPr="007C5A2A">
              <w:rPr>
                <w:lang w:val="en-GB"/>
              </w:rPr>
              <w:t xml:space="preserve"> &gt; 4 ≤ 5</w:t>
            </w:r>
            <w:r>
              <w:rPr>
                <w:lang w:val="en-GB"/>
              </w:rPr>
              <w:br/>
            </w:r>
            <w:r w:rsidRPr="007C5A2A">
              <w:rPr>
                <w:lang w:val="en-GB"/>
              </w:rPr>
              <w:t xml:space="preserve"> &gt; 5</w:t>
            </w:r>
          </w:p>
          <w:p w:rsidR="009A76A4" w:rsidRPr="009C38EB" w:rsidRDefault="009A76A4" w:rsidP="009A76A4">
            <w:pPr>
              <w:spacing w:after="0" w:line="240" w:lineRule="auto"/>
              <w:rPr>
                <w:lang w:val="en-BE"/>
              </w:rPr>
            </w:pPr>
            <w:r w:rsidRPr="007C5A2A">
              <w:rPr>
                <w:lang w:val="en-GB"/>
              </w:rPr>
              <w:t>Housing cooperatives</w:t>
            </w:r>
            <w:r>
              <w:rPr>
                <w:lang w:val="en-GB"/>
              </w:rPr>
              <w:br/>
            </w:r>
            <w:r w:rsidRPr="007C5A2A">
              <w:rPr>
                <w:lang w:val="en-GB"/>
              </w:rPr>
              <w:t xml:space="preserve"> ≤ 5</w:t>
            </w:r>
            <w:r>
              <w:rPr>
                <w:lang w:val="en-GB"/>
              </w:rPr>
              <w:br/>
            </w:r>
            <w:r w:rsidRPr="007C5A2A">
              <w:rPr>
                <w:lang w:val="en-GB"/>
              </w:rPr>
              <w:t xml:space="preserve"> &gt; 5 ≤ 10</w:t>
            </w:r>
            <w:r>
              <w:rPr>
                <w:lang w:val="en-GB"/>
              </w:rPr>
              <w:br/>
            </w:r>
            <w:r w:rsidRPr="007C5A2A">
              <w:rPr>
                <w:lang w:val="en-GB"/>
              </w:rPr>
              <w:t xml:space="preserve"> &gt; 10 ≤ 20</w:t>
            </w:r>
            <w:r>
              <w:rPr>
                <w:lang w:val="en-GB"/>
              </w:rPr>
              <w:br/>
            </w:r>
            <w:r w:rsidRPr="007C5A2A">
              <w:rPr>
                <w:lang w:val="en-GB"/>
              </w:rPr>
              <w:t xml:space="preserve"> &gt; 20 ≤ 50</w:t>
            </w:r>
            <w:r>
              <w:rPr>
                <w:lang w:val="en-GB"/>
              </w:rPr>
              <w:br/>
            </w:r>
            <w:r w:rsidRPr="007C5A2A">
              <w:rPr>
                <w:lang w:val="en-GB"/>
              </w:rPr>
              <w:t xml:space="preserve"> &gt; 50 ≤ 100</w:t>
            </w:r>
            <w:r>
              <w:rPr>
                <w:lang w:val="en-GB"/>
              </w:rPr>
              <w:br/>
            </w:r>
            <w:r w:rsidRPr="007C5A2A">
              <w:rPr>
                <w:lang w:val="en-GB"/>
              </w:rPr>
              <w:t xml:space="preserve"> &gt; 10</w:t>
            </w:r>
            <w:r>
              <w:rPr>
                <w:lang w:val="en-BE"/>
              </w:rPr>
              <w:t>0</w:t>
            </w:r>
          </w:p>
        </w:tc>
        <w:tc>
          <w:tcPr>
            <w:tcW w:w="3685" w:type="dxa"/>
          </w:tcPr>
          <w:p w:rsidR="009A76A4" w:rsidRPr="005D5B80" w:rsidRDefault="009A76A4" w:rsidP="009A76A4">
            <w:pPr>
              <w:spacing w:after="0" w:line="240" w:lineRule="auto"/>
              <w:rPr>
                <w:lang w:val="en-BE"/>
              </w:rPr>
            </w:pPr>
            <w:r>
              <w:rPr>
                <w:lang w:val="en-BE"/>
              </w:rPr>
              <w:t>Not present</w:t>
            </w:r>
          </w:p>
        </w:tc>
      </w:tr>
      <w:tr w:rsidR="009A76A4" w:rsidRPr="005D5B80" w:rsidTr="009A76A4">
        <w:tc>
          <w:tcPr>
            <w:tcW w:w="1838" w:type="dxa"/>
          </w:tcPr>
          <w:p w:rsidR="009A76A4" w:rsidRDefault="009A76A4" w:rsidP="009A76A4">
            <w:pPr>
              <w:jc w:val="both"/>
              <w:rPr>
                <w:lang w:val="en-BE"/>
              </w:rPr>
            </w:pPr>
            <w:r>
              <w:rPr>
                <w:lang w:val="en-BE"/>
              </w:rPr>
              <w:t>Poland</w:t>
            </w:r>
          </w:p>
        </w:tc>
        <w:tc>
          <w:tcPr>
            <w:tcW w:w="4111" w:type="dxa"/>
          </w:tcPr>
          <w:p w:rsidR="009A76A4" w:rsidRPr="005D5B80" w:rsidRDefault="009A76A4" w:rsidP="009A76A4">
            <w:pPr>
              <w:spacing w:after="0" w:line="240" w:lineRule="auto"/>
              <w:rPr>
                <w:lang w:val="en-BE"/>
              </w:rPr>
            </w:pPr>
            <w:r w:rsidRPr="005D5B80">
              <w:rPr>
                <w:lang w:val="en-BE"/>
              </w:rPr>
              <w:t>≤ PLN 250,000</w:t>
            </w:r>
            <w:r w:rsidRPr="005D5B80">
              <w:rPr>
                <w:lang w:val="en-BE"/>
              </w:rPr>
              <w:br/>
              <w:t>(PLN 250,000 - PLN 500,000]</w:t>
            </w:r>
            <w:r w:rsidRPr="005D5B80">
              <w:rPr>
                <w:lang w:val="en-BE"/>
              </w:rPr>
              <w:br/>
              <w:t>(PLN 500,000 - PLN 1,000,000]</w:t>
            </w:r>
            <w:r w:rsidRPr="005D5B80">
              <w:rPr>
                <w:lang w:val="en-BE"/>
              </w:rPr>
              <w:br/>
              <w:t>&gt; PLN 1,000,000</w:t>
            </w:r>
          </w:p>
        </w:tc>
        <w:tc>
          <w:tcPr>
            <w:tcW w:w="3685" w:type="dxa"/>
          </w:tcPr>
          <w:p w:rsidR="009A76A4" w:rsidRPr="005D5B80" w:rsidRDefault="009A76A4" w:rsidP="009A76A4">
            <w:pPr>
              <w:spacing w:after="0" w:line="240" w:lineRule="auto"/>
              <w:rPr>
                <w:lang w:val="en-BE"/>
              </w:rPr>
            </w:pPr>
            <w:r>
              <w:rPr>
                <w:lang w:val="en-BE"/>
              </w:rPr>
              <w:t>Not present</w:t>
            </w:r>
          </w:p>
        </w:tc>
      </w:tr>
      <w:tr w:rsidR="009A76A4" w:rsidRPr="005D5B80" w:rsidTr="009A76A4">
        <w:tc>
          <w:tcPr>
            <w:tcW w:w="1838" w:type="dxa"/>
          </w:tcPr>
          <w:p w:rsidR="009A76A4" w:rsidRDefault="009A76A4" w:rsidP="009A76A4">
            <w:pPr>
              <w:jc w:val="both"/>
              <w:rPr>
                <w:lang w:val="en-BE"/>
              </w:rPr>
            </w:pPr>
            <w:r>
              <w:rPr>
                <w:lang w:val="en-BE"/>
              </w:rPr>
              <w:t>Portugal</w:t>
            </w:r>
          </w:p>
        </w:tc>
        <w:tc>
          <w:tcPr>
            <w:tcW w:w="4111" w:type="dxa"/>
          </w:tcPr>
          <w:p w:rsidR="009A76A4" w:rsidRPr="005D5B80" w:rsidRDefault="009A76A4" w:rsidP="009A76A4">
            <w:pPr>
              <w:spacing w:after="0" w:line="240" w:lineRule="auto"/>
              <w:rPr>
                <w:lang w:val="en-BE"/>
              </w:rPr>
            </w:pPr>
            <w:r w:rsidRPr="003D7845">
              <w:rPr>
                <w:lang w:val="fr-FR"/>
              </w:rPr>
              <w:t>0 -  EUR 10.000</w:t>
            </w:r>
            <w:r w:rsidRPr="003D7845">
              <w:rPr>
                <w:lang w:val="fr-FR"/>
              </w:rPr>
              <w:br/>
              <w:t xml:space="preserve">10.000 - EUR 20.000 </w:t>
            </w:r>
            <w:r w:rsidRPr="003D7845">
              <w:rPr>
                <w:lang w:val="fr-FR"/>
              </w:rPr>
              <w:br/>
              <w:t>20.000 - EUR 30.000</w:t>
            </w:r>
            <w:r w:rsidRPr="003D7845">
              <w:rPr>
                <w:lang w:val="fr-FR"/>
              </w:rPr>
              <w:br/>
              <w:t>30.000 - EUR 40.000</w:t>
            </w:r>
            <w:r w:rsidRPr="003D7845">
              <w:rPr>
                <w:lang w:val="fr-FR"/>
              </w:rPr>
              <w:br/>
              <w:t>40.000 - EUR 50.000</w:t>
            </w:r>
            <w:r>
              <w:rPr>
                <w:lang w:val="fr-FR"/>
              </w:rPr>
              <w:br/>
            </w:r>
            <w:r w:rsidRPr="003D7845">
              <w:rPr>
                <w:lang w:val="fr-FR"/>
              </w:rPr>
              <w:t>50.000 - EUR 60.000</w:t>
            </w:r>
            <w:r>
              <w:rPr>
                <w:lang w:val="fr-FR"/>
              </w:rPr>
              <w:br/>
            </w:r>
            <w:r w:rsidRPr="003D7845">
              <w:rPr>
                <w:lang w:val="fr-FR"/>
              </w:rPr>
              <w:t>60.000 - EUR 70.000</w:t>
            </w:r>
            <w:r>
              <w:rPr>
                <w:lang w:val="fr-FR"/>
              </w:rPr>
              <w:br/>
            </w:r>
            <w:r w:rsidRPr="003D7845">
              <w:rPr>
                <w:lang w:val="fr-FR"/>
              </w:rPr>
              <w:t>70.000 - EUR 80.000</w:t>
            </w:r>
            <w:r>
              <w:rPr>
                <w:lang w:val="fr-FR"/>
              </w:rPr>
              <w:br/>
            </w:r>
            <w:r w:rsidRPr="003D7845">
              <w:rPr>
                <w:lang w:val="fr-FR"/>
              </w:rPr>
              <w:t>80.000 - EUR 90.000</w:t>
            </w:r>
            <w:r>
              <w:rPr>
                <w:lang w:val="fr-FR"/>
              </w:rPr>
              <w:br/>
            </w:r>
            <w:r w:rsidRPr="003D7845">
              <w:rPr>
                <w:lang w:val="fr-FR"/>
              </w:rPr>
              <w:t>90.000 - EUR 100.000</w:t>
            </w:r>
            <w:r>
              <w:rPr>
                <w:lang w:val="fr-FR"/>
              </w:rPr>
              <w:br/>
            </w:r>
            <w:r w:rsidRPr="003D7845">
              <w:rPr>
                <w:lang w:val="fr-FR"/>
              </w:rPr>
              <w:t>100.000 - EUR 200.000</w:t>
            </w:r>
            <w:r>
              <w:rPr>
                <w:lang w:val="fr-FR"/>
              </w:rPr>
              <w:br/>
            </w:r>
            <w:r w:rsidRPr="003D7845">
              <w:rPr>
                <w:lang w:val="fr-FR"/>
              </w:rPr>
              <w:t>&gt; EUR 200.000</w:t>
            </w:r>
          </w:p>
        </w:tc>
        <w:tc>
          <w:tcPr>
            <w:tcW w:w="3685" w:type="dxa"/>
          </w:tcPr>
          <w:p w:rsidR="009A76A4" w:rsidRPr="005D5B80" w:rsidRDefault="009A76A4" w:rsidP="009A76A4">
            <w:pPr>
              <w:spacing w:after="0" w:line="240" w:lineRule="auto"/>
              <w:rPr>
                <w:lang w:val="en-BE"/>
              </w:rPr>
            </w:pPr>
            <w:r>
              <w:rPr>
                <w:lang w:val="en-BE"/>
              </w:rPr>
              <w:t>Not present</w:t>
            </w:r>
          </w:p>
        </w:tc>
      </w:tr>
      <w:tr w:rsidR="009A76A4" w:rsidRPr="005D5B80" w:rsidTr="009A76A4">
        <w:tc>
          <w:tcPr>
            <w:tcW w:w="1838" w:type="dxa"/>
          </w:tcPr>
          <w:p w:rsidR="009A76A4" w:rsidRPr="005D5B80" w:rsidRDefault="009A76A4" w:rsidP="009A76A4">
            <w:pPr>
              <w:rPr>
                <w:lang w:val="en-GB"/>
              </w:rPr>
            </w:pPr>
            <w:r w:rsidRPr="005D5B80">
              <w:rPr>
                <w:lang w:val="en-GB"/>
              </w:rPr>
              <w:t>Republic of Korea (South)</w:t>
            </w:r>
          </w:p>
          <w:p w:rsidR="009A76A4" w:rsidRDefault="009A76A4" w:rsidP="009A76A4">
            <w:pPr>
              <w:jc w:val="both"/>
              <w:rPr>
                <w:lang w:val="en-BE"/>
              </w:rPr>
            </w:pPr>
          </w:p>
        </w:tc>
        <w:tc>
          <w:tcPr>
            <w:tcW w:w="4111" w:type="dxa"/>
          </w:tcPr>
          <w:p w:rsidR="009A76A4" w:rsidRPr="005D5B80" w:rsidRDefault="009A76A4" w:rsidP="009A76A4">
            <w:pPr>
              <w:spacing w:after="0" w:line="240" w:lineRule="auto"/>
              <w:rPr>
                <w:lang w:val="en-BE"/>
              </w:rPr>
            </w:pPr>
            <w:r>
              <w:t>0-50</w:t>
            </w:r>
            <w:r>
              <w:br/>
              <w:t>50-100</w:t>
            </w:r>
            <w:r>
              <w:br/>
              <w:t>100-150</w:t>
            </w:r>
            <w:r>
              <w:br/>
              <w:t>150-200</w:t>
            </w:r>
            <w:r>
              <w:br/>
              <w:t>200-250</w:t>
            </w:r>
            <w:r>
              <w:br/>
              <w:t>250-300</w:t>
            </w:r>
            <w:r>
              <w:br/>
              <w:t>300-350</w:t>
            </w:r>
            <w:r>
              <w:br/>
              <w:t>350-400</w:t>
            </w:r>
            <w:r>
              <w:br/>
              <w:t>400+</w:t>
            </w:r>
          </w:p>
        </w:tc>
        <w:tc>
          <w:tcPr>
            <w:tcW w:w="3685" w:type="dxa"/>
          </w:tcPr>
          <w:p w:rsidR="009A76A4" w:rsidRPr="005D5B80" w:rsidRDefault="009A76A4" w:rsidP="009A76A4">
            <w:pPr>
              <w:spacing w:after="0" w:line="240" w:lineRule="auto"/>
              <w:rPr>
                <w:lang w:val="en-BE"/>
              </w:rPr>
            </w:pPr>
            <w:r>
              <w:rPr>
                <w:lang w:val="en-BE"/>
              </w:rPr>
              <w:t>Not present</w:t>
            </w:r>
          </w:p>
        </w:tc>
      </w:tr>
      <w:tr w:rsidR="009A76A4" w:rsidRPr="005D5B80" w:rsidTr="009A76A4">
        <w:tc>
          <w:tcPr>
            <w:tcW w:w="1838" w:type="dxa"/>
          </w:tcPr>
          <w:p w:rsidR="009A76A4" w:rsidRDefault="009A76A4" w:rsidP="009A76A4">
            <w:pPr>
              <w:jc w:val="both"/>
              <w:rPr>
                <w:lang w:val="en-BE"/>
              </w:rPr>
            </w:pPr>
            <w:r>
              <w:rPr>
                <w:lang w:val="en-BE"/>
              </w:rPr>
              <w:t>Singapore</w:t>
            </w:r>
          </w:p>
        </w:tc>
        <w:tc>
          <w:tcPr>
            <w:tcW w:w="4111" w:type="dxa"/>
          </w:tcPr>
          <w:p w:rsidR="009A76A4" w:rsidRPr="005D5B80" w:rsidRDefault="009A76A4" w:rsidP="009A76A4">
            <w:pPr>
              <w:spacing w:after="0" w:line="240" w:lineRule="auto"/>
              <w:rPr>
                <w:lang w:val="en-BE"/>
              </w:rPr>
            </w:pPr>
            <w:r w:rsidRPr="005D5B80">
              <w:rPr>
                <w:lang w:val="en-BE"/>
              </w:rPr>
              <w:t>≤ SGD 500,000</w:t>
            </w:r>
            <w:r w:rsidRPr="005D5B80">
              <w:rPr>
                <w:lang w:val="en-BE"/>
              </w:rPr>
              <w:br/>
              <w:t>&gt; SGD 500,000 - ≤ SGD 1,000,000</w:t>
            </w:r>
            <w:r w:rsidRPr="005D5B80">
              <w:rPr>
                <w:lang w:val="en-BE"/>
              </w:rPr>
              <w:br/>
              <w:t>&gt; SGD 1,000,000 - ≤ SGD 1,500,000</w:t>
            </w:r>
            <w:r w:rsidRPr="005D5B80">
              <w:rPr>
                <w:lang w:val="en-BE"/>
              </w:rPr>
              <w:br/>
              <w:t>&gt; SGD 1,500,000 - ≤ SGD 2,000,000</w:t>
            </w:r>
            <w:r w:rsidRPr="005D5B80">
              <w:rPr>
                <w:lang w:val="en-BE"/>
              </w:rPr>
              <w:br/>
              <w:t>&gt; SGD 2,000,000 - ≤ SGD 2,500,000</w:t>
            </w:r>
            <w:r w:rsidRPr="005D5B80">
              <w:rPr>
                <w:lang w:val="en-BE"/>
              </w:rPr>
              <w:br/>
              <w:t>&gt; SGD 2,500,000 - ≤ SGD 3,000,000</w:t>
            </w:r>
            <w:r w:rsidRPr="005D5B80">
              <w:rPr>
                <w:lang w:val="en-BE"/>
              </w:rPr>
              <w:br/>
              <w:t>&gt; SGD 3,000,000 - ≤ SGD 3,500,000</w:t>
            </w:r>
            <w:r w:rsidRPr="005D5B80">
              <w:rPr>
                <w:lang w:val="en-BE"/>
              </w:rPr>
              <w:br/>
              <w:t>&gt; SGD 3,500,000 - ≤ SGD 4,000,000</w:t>
            </w:r>
            <w:r w:rsidRPr="005D5B80">
              <w:rPr>
                <w:lang w:val="en-BE"/>
              </w:rPr>
              <w:br/>
              <w:t>&gt; SGD 4,000,000</w:t>
            </w:r>
          </w:p>
        </w:tc>
        <w:tc>
          <w:tcPr>
            <w:tcW w:w="3685" w:type="dxa"/>
          </w:tcPr>
          <w:p w:rsidR="009A76A4" w:rsidRPr="005D5B80" w:rsidRDefault="009A76A4" w:rsidP="009A76A4">
            <w:pPr>
              <w:spacing w:after="0" w:line="240" w:lineRule="auto"/>
              <w:rPr>
                <w:lang w:val="en-BE"/>
              </w:rPr>
            </w:pPr>
            <w:r>
              <w:rPr>
                <w:lang w:val="en-BE"/>
              </w:rPr>
              <w:t>Not present</w:t>
            </w:r>
          </w:p>
        </w:tc>
      </w:tr>
      <w:tr w:rsidR="009A76A4" w:rsidRPr="009A76A4" w:rsidTr="009A76A4">
        <w:tc>
          <w:tcPr>
            <w:tcW w:w="1838" w:type="dxa"/>
          </w:tcPr>
          <w:p w:rsidR="009A76A4" w:rsidRDefault="009A76A4" w:rsidP="009A76A4">
            <w:pPr>
              <w:jc w:val="both"/>
              <w:rPr>
                <w:lang w:val="en-BE"/>
              </w:rPr>
            </w:pPr>
            <w:r>
              <w:rPr>
                <w:lang w:val="en-BE"/>
              </w:rPr>
              <w:lastRenderedPageBreak/>
              <w:t>Spain</w:t>
            </w:r>
          </w:p>
        </w:tc>
        <w:tc>
          <w:tcPr>
            <w:tcW w:w="4111" w:type="dxa"/>
          </w:tcPr>
          <w:p w:rsidR="009A76A4" w:rsidRPr="000E3F23" w:rsidRDefault="009A76A4" w:rsidP="009A76A4">
            <w:pPr>
              <w:spacing w:after="0" w:line="240" w:lineRule="auto"/>
              <w:rPr>
                <w:lang w:val="en-GB"/>
              </w:rPr>
            </w:pPr>
            <w:r w:rsidRPr="000E3F23">
              <w:rPr>
                <w:lang w:val="en-GB"/>
              </w:rPr>
              <w:t>of which up to 100,000 euros</w:t>
            </w:r>
          </w:p>
          <w:p w:rsidR="009A76A4" w:rsidRPr="000E3F23" w:rsidRDefault="009A76A4" w:rsidP="009A76A4">
            <w:pPr>
              <w:spacing w:after="0" w:line="240" w:lineRule="auto"/>
              <w:rPr>
                <w:lang w:val="en-GB"/>
              </w:rPr>
            </w:pPr>
            <w:r w:rsidRPr="000E3F23">
              <w:rPr>
                <w:lang w:val="en-GB"/>
              </w:rPr>
              <w:t>of which more than 100,000 euros up to 200,000 euros</w:t>
            </w:r>
          </w:p>
          <w:p w:rsidR="009A76A4" w:rsidRPr="000E3F23" w:rsidRDefault="009A76A4" w:rsidP="009A76A4">
            <w:pPr>
              <w:spacing w:after="0" w:line="240" w:lineRule="auto"/>
              <w:rPr>
                <w:lang w:val="en-GB"/>
              </w:rPr>
            </w:pPr>
            <w:r w:rsidRPr="000E3F23">
              <w:rPr>
                <w:lang w:val="en-GB"/>
              </w:rPr>
              <w:t>of which more than 200,000 euros up to 300,000 euros</w:t>
            </w:r>
          </w:p>
          <w:p w:rsidR="009A76A4" w:rsidRPr="000E3F23" w:rsidRDefault="009A76A4" w:rsidP="009A76A4">
            <w:pPr>
              <w:spacing w:after="0" w:line="240" w:lineRule="auto"/>
              <w:rPr>
                <w:lang w:val="en-GB"/>
              </w:rPr>
            </w:pPr>
            <w:r w:rsidRPr="000E3F23">
              <w:rPr>
                <w:lang w:val="en-GB"/>
              </w:rPr>
              <w:t>of which more than 300,000 euros up to 500,000 euros</w:t>
            </w:r>
          </w:p>
          <w:p w:rsidR="009A76A4" w:rsidRPr="000E3F23" w:rsidRDefault="009A76A4" w:rsidP="009A76A4">
            <w:pPr>
              <w:spacing w:after="0" w:line="240" w:lineRule="auto"/>
              <w:rPr>
                <w:lang w:val="en-GB"/>
              </w:rPr>
            </w:pPr>
            <w:r w:rsidRPr="000E3F23">
              <w:rPr>
                <w:lang w:val="en-GB"/>
              </w:rPr>
              <w:t>of which more than 500,000 euros up to 1mn euros</w:t>
            </w:r>
          </w:p>
          <w:p w:rsidR="009A76A4" w:rsidRPr="005D5B80" w:rsidRDefault="009A76A4" w:rsidP="009A76A4">
            <w:pPr>
              <w:spacing w:after="0" w:line="240" w:lineRule="auto"/>
              <w:rPr>
                <w:lang w:val="en-BE"/>
              </w:rPr>
            </w:pPr>
            <w:r w:rsidRPr="000E3F23">
              <w:rPr>
                <w:lang w:val="en-GB"/>
              </w:rPr>
              <w:t>of which more than 1mn euros</w:t>
            </w:r>
          </w:p>
        </w:tc>
        <w:tc>
          <w:tcPr>
            <w:tcW w:w="3685" w:type="dxa"/>
          </w:tcPr>
          <w:p w:rsidR="009A76A4" w:rsidRPr="000E3F23" w:rsidRDefault="009A76A4" w:rsidP="009A76A4">
            <w:pPr>
              <w:spacing w:after="0" w:line="240" w:lineRule="auto"/>
              <w:rPr>
                <w:lang w:val="en-GB"/>
              </w:rPr>
            </w:pPr>
            <w:r w:rsidRPr="000E3F23">
              <w:rPr>
                <w:lang w:val="en-GB"/>
              </w:rPr>
              <w:t>of which up to 100,000 euros</w:t>
            </w:r>
          </w:p>
          <w:p w:rsidR="009A76A4" w:rsidRPr="000E3F23" w:rsidRDefault="009A76A4" w:rsidP="009A76A4">
            <w:pPr>
              <w:spacing w:after="0" w:line="240" w:lineRule="auto"/>
              <w:rPr>
                <w:lang w:val="en-GB"/>
              </w:rPr>
            </w:pPr>
            <w:r w:rsidRPr="000E3F23">
              <w:rPr>
                <w:lang w:val="en-GB"/>
              </w:rPr>
              <w:t>of which more than 100,000 euros up to 200,000 euros</w:t>
            </w:r>
          </w:p>
          <w:p w:rsidR="009A76A4" w:rsidRPr="000E3F23" w:rsidRDefault="009A76A4" w:rsidP="009A76A4">
            <w:pPr>
              <w:spacing w:after="0" w:line="240" w:lineRule="auto"/>
              <w:rPr>
                <w:lang w:val="en-GB"/>
              </w:rPr>
            </w:pPr>
            <w:r w:rsidRPr="000E3F23">
              <w:rPr>
                <w:lang w:val="en-GB"/>
              </w:rPr>
              <w:t>of which more than 200,000 euros up to 300,000 euros</w:t>
            </w:r>
          </w:p>
          <w:p w:rsidR="009A76A4" w:rsidRPr="000E3F23" w:rsidRDefault="009A76A4" w:rsidP="009A76A4">
            <w:pPr>
              <w:spacing w:after="0" w:line="240" w:lineRule="auto"/>
              <w:rPr>
                <w:lang w:val="en-GB"/>
              </w:rPr>
            </w:pPr>
            <w:r w:rsidRPr="000E3F23">
              <w:rPr>
                <w:lang w:val="en-GB"/>
              </w:rPr>
              <w:t>of which more than 300,000 euros up to 500,000 euros</w:t>
            </w:r>
          </w:p>
          <w:p w:rsidR="009A76A4" w:rsidRPr="000E3F23" w:rsidRDefault="009A76A4" w:rsidP="009A76A4">
            <w:pPr>
              <w:spacing w:after="0" w:line="240" w:lineRule="auto"/>
              <w:rPr>
                <w:lang w:val="en-GB"/>
              </w:rPr>
            </w:pPr>
            <w:r w:rsidRPr="000E3F23">
              <w:rPr>
                <w:lang w:val="en-GB"/>
              </w:rPr>
              <w:t>of which more than 500,000 euros up to 1mn euros</w:t>
            </w:r>
          </w:p>
          <w:p w:rsidR="009A76A4" w:rsidRPr="005D5B80" w:rsidRDefault="009A76A4" w:rsidP="009A76A4">
            <w:pPr>
              <w:spacing w:after="0" w:line="240" w:lineRule="auto"/>
              <w:rPr>
                <w:lang w:val="en-BE"/>
              </w:rPr>
            </w:pPr>
            <w:r w:rsidRPr="000E3F23">
              <w:rPr>
                <w:lang w:val="en-GB"/>
              </w:rPr>
              <w:t>of which more than 1mn euros</w:t>
            </w:r>
          </w:p>
        </w:tc>
      </w:tr>
      <w:tr w:rsidR="009A76A4" w:rsidRPr="005D5B80" w:rsidTr="009A76A4">
        <w:tc>
          <w:tcPr>
            <w:tcW w:w="1838" w:type="dxa"/>
          </w:tcPr>
          <w:p w:rsidR="009A76A4" w:rsidRDefault="009A76A4" w:rsidP="009A76A4">
            <w:pPr>
              <w:jc w:val="both"/>
              <w:rPr>
                <w:lang w:val="en-BE"/>
              </w:rPr>
            </w:pPr>
            <w:r>
              <w:rPr>
                <w:lang w:val="en-BE"/>
              </w:rPr>
              <w:t>Slovakia</w:t>
            </w:r>
          </w:p>
        </w:tc>
        <w:tc>
          <w:tcPr>
            <w:tcW w:w="4111" w:type="dxa"/>
          </w:tcPr>
          <w:tbl>
            <w:tblPr>
              <w:tblW w:w="2940" w:type="dxa"/>
              <w:tblLook w:val="04A0" w:firstRow="1" w:lastRow="0" w:firstColumn="1" w:lastColumn="0" w:noHBand="0" w:noVBand="1"/>
            </w:tblPr>
            <w:tblGrid>
              <w:gridCol w:w="2940"/>
            </w:tblGrid>
            <w:tr w:rsidR="009A76A4" w:rsidRPr="005D5B80" w:rsidTr="009A76A4">
              <w:trPr>
                <w:trHeight w:val="300"/>
              </w:trPr>
              <w:tc>
                <w:tcPr>
                  <w:tcW w:w="2940" w:type="dxa"/>
                  <w:tcBorders>
                    <w:top w:val="nil"/>
                    <w:left w:val="nil"/>
                    <w:bottom w:val="nil"/>
                    <w:right w:val="nil"/>
                  </w:tcBorders>
                  <w:shd w:val="clear" w:color="auto" w:fill="auto"/>
                  <w:noWrap/>
                  <w:vAlign w:val="bottom"/>
                  <w:hideMark/>
                </w:tcPr>
                <w:p w:rsidR="009A76A4" w:rsidRPr="005D5B80" w:rsidRDefault="009A76A4" w:rsidP="009A76A4">
                  <w:pPr>
                    <w:spacing w:after="0" w:line="240" w:lineRule="auto"/>
                    <w:rPr>
                      <w:rFonts w:eastAsia="Times New Roman" w:cs="Calibri"/>
                      <w:color w:val="000000"/>
                      <w:lang w:val="en-BE" w:eastAsia="en-BE"/>
                    </w:rPr>
                  </w:pPr>
                  <w:r w:rsidRPr="005D5B80">
                    <w:rPr>
                      <w:rFonts w:eastAsia="Times New Roman" w:cs="Calibri"/>
                      <w:color w:val="000000"/>
                      <w:lang w:val="en-BE" w:eastAsia="en-BE"/>
                    </w:rPr>
                    <w:t>&lt;0-0,025&gt;</w:t>
                  </w:r>
                </w:p>
              </w:tc>
            </w:tr>
            <w:tr w:rsidR="009A76A4" w:rsidRPr="005D5B80" w:rsidTr="009A76A4">
              <w:trPr>
                <w:trHeight w:val="300"/>
              </w:trPr>
              <w:tc>
                <w:tcPr>
                  <w:tcW w:w="2940" w:type="dxa"/>
                  <w:tcBorders>
                    <w:top w:val="nil"/>
                    <w:left w:val="nil"/>
                    <w:bottom w:val="nil"/>
                    <w:right w:val="nil"/>
                  </w:tcBorders>
                  <w:shd w:val="clear" w:color="auto" w:fill="auto"/>
                  <w:noWrap/>
                  <w:vAlign w:val="bottom"/>
                  <w:hideMark/>
                </w:tcPr>
                <w:p w:rsidR="009A76A4" w:rsidRPr="005D5B80" w:rsidRDefault="009A76A4" w:rsidP="009A76A4">
                  <w:pPr>
                    <w:spacing w:after="0" w:line="240" w:lineRule="auto"/>
                    <w:rPr>
                      <w:rFonts w:eastAsia="Times New Roman" w:cs="Calibri"/>
                      <w:color w:val="000000"/>
                      <w:lang w:val="en-BE" w:eastAsia="en-BE"/>
                    </w:rPr>
                  </w:pPr>
                  <w:r w:rsidRPr="005D5B80">
                    <w:rPr>
                      <w:rFonts w:eastAsia="Times New Roman" w:cs="Calibri"/>
                      <w:color w:val="000000"/>
                      <w:lang w:val="en-BE" w:eastAsia="en-BE"/>
                    </w:rPr>
                    <w:t>(0,025-0,050&gt;</w:t>
                  </w:r>
                </w:p>
              </w:tc>
            </w:tr>
            <w:tr w:rsidR="009A76A4" w:rsidRPr="005D5B80" w:rsidTr="009A76A4">
              <w:trPr>
                <w:trHeight w:val="300"/>
              </w:trPr>
              <w:tc>
                <w:tcPr>
                  <w:tcW w:w="2940" w:type="dxa"/>
                  <w:tcBorders>
                    <w:top w:val="nil"/>
                    <w:left w:val="nil"/>
                    <w:bottom w:val="nil"/>
                    <w:right w:val="nil"/>
                  </w:tcBorders>
                  <w:shd w:val="clear" w:color="auto" w:fill="auto"/>
                  <w:noWrap/>
                  <w:vAlign w:val="bottom"/>
                  <w:hideMark/>
                </w:tcPr>
                <w:p w:rsidR="009A76A4" w:rsidRPr="005D5B80" w:rsidRDefault="009A76A4" w:rsidP="009A76A4">
                  <w:pPr>
                    <w:spacing w:after="0" w:line="240" w:lineRule="auto"/>
                    <w:rPr>
                      <w:rFonts w:eastAsia="Times New Roman" w:cs="Calibri"/>
                      <w:color w:val="000000"/>
                      <w:lang w:val="en-BE" w:eastAsia="en-BE"/>
                    </w:rPr>
                  </w:pPr>
                  <w:r w:rsidRPr="005D5B80">
                    <w:rPr>
                      <w:rFonts w:eastAsia="Times New Roman" w:cs="Calibri"/>
                      <w:color w:val="000000"/>
                      <w:lang w:val="en-BE" w:eastAsia="en-BE"/>
                    </w:rPr>
                    <w:t>(0,050-0,075&gt;</w:t>
                  </w:r>
                </w:p>
              </w:tc>
            </w:tr>
            <w:tr w:rsidR="009A76A4" w:rsidRPr="005D5B80" w:rsidTr="009A76A4">
              <w:trPr>
                <w:trHeight w:val="300"/>
              </w:trPr>
              <w:tc>
                <w:tcPr>
                  <w:tcW w:w="2940" w:type="dxa"/>
                  <w:tcBorders>
                    <w:top w:val="nil"/>
                    <w:left w:val="nil"/>
                    <w:bottom w:val="nil"/>
                    <w:right w:val="nil"/>
                  </w:tcBorders>
                  <w:shd w:val="clear" w:color="auto" w:fill="auto"/>
                  <w:noWrap/>
                  <w:vAlign w:val="bottom"/>
                  <w:hideMark/>
                </w:tcPr>
                <w:p w:rsidR="009A76A4" w:rsidRPr="005D5B80" w:rsidRDefault="009A76A4" w:rsidP="009A76A4">
                  <w:pPr>
                    <w:spacing w:after="0" w:line="240" w:lineRule="auto"/>
                    <w:rPr>
                      <w:rFonts w:eastAsia="Times New Roman" w:cs="Calibri"/>
                      <w:color w:val="000000"/>
                      <w:lang w:val="en-BE" w:eastAsia="en-BE"/>
                    </w:rPr>
                  </w:pPr>
                  <w:r w:rsidRPr="005D5B80">
                    <w:rPr>
                      <w:rFonts w:eastAsia="Times New Roman" w:cs="Calibri"/>
                      <w:color w:val="000000"/>
                      <w:lang w:val="en-BE" w:eastAsia="en-BE"/>
                    </w:rPr>
                    <w:t>(0,075-0,100&gt;</w:t>
                  </w:r>
                </w:p>
              </w:tc>
            </w:tr>
            <w:tr w:rsidR="009A76A4" w:rsidRPr="005D5B80" w:rsidTr="009A76A4">
              <w:trPr>
                <w:trHeight w:val="300"/>
              </w:trPr>
              <w:tc>
                <w:tcPr>
                  <w:tcW w:w="2940" w:type="dxa"/>
                  <w:tcBorders>
                    <w:top w:val="nil"/>
                    <w:left w:val="nil"/>
                    <w:bottom w:val="nil"/>
                    <w:right w:val="nil"/>
                  </w:tcBorders>
                  <w:shd w:val="clear" w:color="auto" w:fill="auto"/>
                  <w:noWrap/>
                  <w:vAlign w:val="bottom"/>
                  <w:hideMark/>
                </w:tcPr>
                <w:p w:rsidR="009A76A4" w:rsidRPr="005D5B80" w:rsidRDefault="009A76A4" w:rsidP="009A76A4">
                  <w:pPr>
                    <w:spacing w:after="0" w:line="240" w:lineRule="auto"/>
                    <w:rPr>
                      <w:rFonts w:eastAsia="Times New Roman" w:cs="Calibri"/>
                      <w:color w:val="000000"/>
                      <w:lang w:val="en-BE" w:eastAsia="en-BE"/>
                    </w:rPr>
                  </w:pPr>
                  <w:r w:rsidRPr="005D5B80">
                    <w:rPr>
                      <w:rFonts w:eastAsia="Times New Roman" w:cs="Calibri"/>
                      <w:color w:val="000000"/>
                      <w:lang w:val="en-BE" w:eastAsia="en-BE"/>
                    </w:rPr>
                    <w:t>(0,100-0,125&gt;</w:t>
                  </w:r>
                </w:p>
              </w:tc>
            </w:tr>
            <w:tr w:rsidR="009A76A4" w:rsidRPr="005D5B80" w:rsidTr="009A76A4">
              <w:trPr>
                <w:trHeight w:val="300"/>
              </w:trPr>
              <w:tc>
                <w:tcPr>
                  <w:tcW w:w="2940" w:type="dxa"/>
                  <w:tcBorders>
                    <w:top w:val="nil"/>
                    <w:left w:val="nil"/>
                    <w:bottom w:val="nil"/>
                    <w:right w:val="nil"/>
                  </w:tcBorders>
                  <w:shd w:val="clear" w:color="auto" w:fill="auto"/>
                  <w:noWrap/>
                  <w:vAlign w:val="bottom"/>
                  <w:hideMark/>
                </w:tcPr>
                <w:p w:rsidR="009A76A4" w:rsidRPr="005D5B80" w:rsidRDefault="009A76A4" w:rsidP="009A76A4">
                  <w:pPr>
                    <w:spacing w:after="0" w:line="240" w:lineRule="auto"/>
                    <w:rPr>
                      <w:rFonts w:eastAsia="Times New Roman" w:cs="Calibri"/>
                      <w:color w:val="000000"/>
                      <w:lang w:val="en-BE" w:eastAsia="en-BE"/>
                    </w:rPr>
                  </w:pPr>
                  <w:r w:rsidRPr="005D5B80">
                    <w:rPr>
                      <w:rFonts w:eastAsia="Times New Roman" w:cs="Calibri"/>
                      <w:color w:val="000000"/>
                      <w:lang w:val="en-BE" w:eastAsia="en-BE"/>
                    </w:rPr>
                    <w:t>(0,125-0,150&gt;</w:t>
                  </w:r>
                </w:p>
              </w:tc>
            </w:tr>
          </w:tbl>
          <w:p w:rsidR="009A76A4" w:rsidRPr="005D5B80" w:rsidRDefault="009A76A4" w:rsidP="009A76A4">
            <w:pPr>
              <w:spacing w:after="0" w:line="240" w:lineRule="auto"/>
              <w:rPr>
                <w:lang w:val="en-BE"/>
              </w:rPr>
            </w:pPr>
          </w:p>
        </w:tc>
        <w:tc>
          <w:tcPr>
            <w:tcW w:w="3685" w:type="dxa"/>
          </w:tcPr>
          <w:p w:rsidR="009A76A4" w:rsidRPr="005D5B80" w:rsidRDefault="009A76A4" w:rsidP="009A76A4">
            <w:pPr>
              <w:spacing w:after="0" w:line="240" w:lineRule="auto"/>
              <w:rPr>
                <w:lang w:val="en-BE"/>
              </w:rPr>
            </w:pPr>
            <w:r>
              <w:rPr>
                <w:lang w:val="en-BE"/>
              </w:rPr>
              <w:t>Not present</w:t>
            </w:r>
          </w:p>
        </w:tc>
      </w:tr>
      <w:tr w:rsidR="009A76A4" w:rsidRPr="005D5B80" w:rsidTr="009A76A4">
        <w:tc>
          <w:tcPr>
            <w:tcW w:w="1838" w:type="dxa"/>
          </w:tcPr>
          <w:p w:rsidR="009A76A4" w:rsidRDefault="009A76A4" w:rsidP="009A76A4">
            <w:pPr>
              <w:jc w:val="both"/>
              <w:rPr>
                <w:lang w:val="en-BE"/>
              </w:rPr>
            </w:pPr>
            <w:r>
              <w:rPr>
                <w:lang w:val="en-BE"/>
              </w:rPr>
              <w:t>Sweden</w:t>
            </w:r>
          </w:p>
        </w:tc>
        <w:tc>
          <w:tcPr>
            <w:tcW w:w="4111" w:type="dxa"/>
          </w:tcPr>
          <w:p w:rsidR="009A76A4" w:rsidRPr="005D5B80" w:rsidRDefault="009A76A4" w:rsidP="009A76A4">
            <w:pPr>
              <w:spacing w:after="0" w:line="240" w:lineRule="auto"/>
              <w:rPr>
                <w:lang w:val="en-BE"/>
              </w:rPr>
            </w:pPr>
            <w:r w:rsidRPr="00E53FCD">
              <w:rPr>
                <w:lang w:val="en-GB"/>
              </w:rPr>
              <w:t>-</w:t>
            </w:r>
            <w:r w:rsidRPr="002E2DF4">
              <w:rPr>
                <w:lang w:val="en-GB"/>
              </w:rPr>
              <w:t>&gt;0  -  &lt;=0,25</w:t>
            </w:r>
            <w:r>
              <w:rPr>
                <w:lang w:val="en-GB"/>
              </w:rPr>
              <w:br/>
            </w:r>
            <w:r w:rsidRPr="002E2DF4">
              <w:rPr>
                <w:lang w:val="en-GB"/>
              </w:rPr>
              <w:t>&gt;0,25  -  &lt;=0,50</w:t>
            </w:r>
            <w:r>
              <w:rPr>
                <w:lang w:val="en-GB"/>
              </w:rPr>
              <w:br/>
            </w:r>
            <w:r w:rsidRPr="002E2DF4">
              <w:rPr>
                <w:lang w:val="en-GB"/>
              </w:rPr>
              <w:t>&gt;0,50  -  &lt;=0,75</w:t>
            </w:r>
            <w:r>
              <w:rPr>
                <w:lang w:val="en-GB"/>
              </w:rPr>
              <w:br/>
            </w:r>
            <w:r w:rsidRPr="002E2DF4">
              <w:rPr>
                <w:lang w:val="en-GB"/>
              </w:rPr>
              <w:t>&gt;0,75  -  &lt;=1,00</w:t>
            </w:r>
            <w:r>
              <w:rPr>
                <w:lang w:val="en-GB"/>
              </w:rPr>
              <w:br/>
            </w:r>
            <w:r w:rsidRPr="002E2DF4">
              <w:rPr>
                <w:lang w:val="en-GB"/>
              </w:rPr>
              <w:t>&gt;1,00  -  &lt;=2,00</w:t>
            </w:r>
            <w:r>
              <w:rPr>
                <w:lang w:val="en-GB"/>
              </w:rPr>
              <w:br/>
            </w:r>
            <w:r w:rsidRPr="002E2DF4">
              <w:rPr>
                <w:lang w:val="en-GB"/>
              </w:rPr>
              <w:t>&gt;2,00  -  &lt;=3,00</w:t>
            </w:r>
            <w:r>
              <w:rPr>
                <w:lang w:val="en-GB"/>
              </w:rPr>
              <w:br/>
            </w:r>
            <w:r w:rsidRPr="002E2DF4">
              <w:rPr>
                <w:lang w:val="en-GB"/>
              </w:rPr>
              <w:t>&gt;3,00  -  &lt;=4,00</w:t>
            </w:r>
            <w:r>
              <w:rPr>
                <w:lang w:val="en-GB"/>
              </w:rPr>
              <w:br/>
            </w:r>
            <w:r w:rsidRPr="002E2DF4">
              <w:rPr>
                <w:lang w:val="en-GB"/>
              </w:rPr>
              <w:t>&gt;4,00  -  &lt;=5</w:t>
            </w:r>
            <w:r>
              <w:rPr>
                <w:lang w:val="en-GB"/>
              </w:rPr>
              <w:br/>
            </w:r>
            <w:r w:rsidRPr="002E2DF4">
              <w:rPr>
                <w:lang w:val="en-GB"/>
              </w:rPr>
              <w:t>&gt;5  -  &lt;=10</w:t>
            </w:r>
            <w:r>
              <w:rPr>
                <w:lang w:val="en-GB"/>
              </w:rPr>
              <w:br/>
            </w:r>
            <w:r w:rsidRPr="002E2DF4">
              <w:rPr>
                <w:lang w:val="en-GB"/>
              </w:rPr>
              <w:t>&gt;10  -  &lt;=20</w:t>
            </w:r>
            <w:r>
              <w:rPr>
                <w:lang w:val="en-GB"/>
              </w:rPr>
              <w:br/>
            </w:r>
            <w:r w:rsidRPr="002E2DF4">
              <w:rPr>
                <w:lang w:val="en-GB"/>
              </w:rPr>
              <w:t>&gt;20</w:t>
            </w:r>
          </w:p>
        </w:tc>
        <w:tc>
          <w:tcPr>
            <w:tcW w:w="3685" w:type="dxa"/>
          </w:tcPr>
          <w:p w:rsidR="009A76A4" w:rsidRPr="005D5B80" w:rsidRDefault="009A76A4" w:rsidP="009A76A4">
            <w:pPr>
              <w:spacing w:after="0" w:line="240" w:lineRule="auto"/>
              <w:rPr>
                <w:lang w:val="en-BE"/>
              </w:rPr>
            </w:pPr>
            <w:r w:rsidRPr="005A46F5">
              <w:rPr>
                <w:lang w:val="en-GB"/>
              </w:rPr>
              <w:t>-1.00</w:t>
            </w:r>
            <w:r>
              <w:rPr>
                <w:lang w:val="en-GB"/>
              </w:rPr>
              <w:br/>
            </w:r>
            <w:r w:rsidRPr="005A46F5">
              <w:rPr>
                <w:lang w:val="en-GB"/>
              </w:rPr>
              <w:t>1.00-2.50</w:t>
            </w:r>
            <w:r>
              <w:rPr>
                <w:lang w:val="en-GB"/>
              </w:rPr>
              <w:br/>
            </w:r>
            <w:r w:rsidRPr="005A46F5">
              <w:rPr>
                <w:lang w:val="en-GB"/>
              </w:rPr>
              <w:t>2.50-5.00</w:t>
            </w:r>
            <w:r>
              <w:rPr>
                <w:lang w:val="en-GB"/>
              </w:rPr>
              <w:br/>
            </w:r>
            <w:r w:rsidRPr="005A46F5">
              <w:rPr>
                <w:lang w:val="en-GB"/>
              </w:rPr>
              <w:t>5.00-10.00</w:t>
            </w:r>
            <w:r>
              <w:rPr>
                <w:lang w:val="en-GB"/>
              </w:rPr>
              <w:br/>
            </w:r>
            <w:r w:rsidRPr="005A46F5">
              <w:rPr>
                <w:lang w:val="en-GB"/>
              </w:rPr>
              <w:t>10.00-25.00</w:t>
            </w:r>
            <w:r>
              <w:rPr>
                <w:lang w:val="en-GB"/>
              </w:rPr>
              <w:br/>
            </w:r>
            <w:r w:rsidRPr="005A46F5">
              <w:rPr>
                <w:lang w:val="en-GB"/>
              </w:rPr>
              <w:t>25.00-50.00</w:t>
            </w:r>
            <w:r>
              <w:rPr>
                <w:lang w:val="en-GB"/>
              </w:rPr>
              <w:br/>
            </w:r>
            <w:r w:rsidRPr="005A46F5">
              <w:rPr>
                <w:lang w:val="en-GB"/>
              </w:rPr>
              <w:t>50.00-100.00</w:t>
            </w:r>
            <w:r>
              <w:rPr>
                <w:lang w:val="en-GB"/>
              </w:rPr>
              <w:br/>
            </w:r>
            <w:r w:rsidRPr="005A46F5">
              <w:rPr>
                <w:lang w:val="en-GB"/>
              </w:rPr>
              <w:t>100.00-.250.00</w:t>
            </w:r>
            <w:r>
              <w:rPr>
                <w:lang w:val="en-GB"/>
              </w:rPr>
              <w:br/>
            </w:r>
            <w:r w:rsidRPr="005A46F5">
              <w:rPr>
                <w:lang w:val="en-GB"/>
              </w:rPr>
              <w:t>250.00-</w:t>
            </w:r>
          </w:p>
        </w:tc>
      </w:tr>
      <w:tr w:rsidR="009A76A4" w:rsidRPr="005D5B80" w:rsidTr="009A76A4">
        <w:tc>
          <w:tcPr>
            <w:tcW w:w="1838" w:type="dxa"/>
          </w:tcPr>
          <w:p w:rsidR="009A76A4" w:rsidRDefault="009A76A4" w:rsidP="009A76A4">
            <w:pPr>
              <w:jc w:val="both"/>
              <w:rPr>
                <w:lang w:val="en-BE"/>
              </w:rPr>
            </w:pPr>
            <w:r>
              <w:rPr>
                <w:lang w:val="en-BE"/>
              </w:rPr>
              <w:t>United Kingdom</w:t>
            </w:r>
          </w:p>
        </w:tc>
        <w:tc>
          <w:tcPr>
            <w:tcW w:w="4111" w:type="dxa"/>
          </w:tcPr>
          <w:p w:rsidR="009A76A4" w:rsidRPr="00E53FCD" w:rsidRDefault="009A76A4" w:rsidP="009A76A4">
            <w:pPr>
              <w:spacing w:after="0" w:line="240" w:lineRule="auto"/>
              <w:rPr>
                <w:lang w:val="en-GB"/>
              </w:rPr>
            </w:pPr>
            <w:r w:rsidRPr="001A1D88">
              <w:rPr>
                <w:lang w:val="en-GB"/>
              </w:rPr>
              <w:t>&gt;=5,000 and &lt;10,000</w:t>
            </w:r>
            <w:r>
              <w:rPr>
                <w:lang w:val="en-GB"/>
              </w:rPr>
              <w:br/>
            </w:r>
            <w:r w:rsidRPr="001A1D88">
              <w:rPr>
                <w:lang w:val="en-GB"/>
              </w:rPr>
              <w:t>&gt;=10,000 and &lt;25,000</w:t>
            </w:r>
            <w:r>
              <w:rPr>
                <w:lang w:val="en-GB"/>
              </w:rPr>
              <w:br/>
            </w:r>
            <w:r w:rsidRPr="001A1D88">
              <w:rPr>
                <w:lang w:val="en-GB"/>
              </w:rPr>
              <w:t>&gt;=25,000 and &lt;50,000</w:t>
            </w:r>
            <w:r>
              <w:rPr>
                <w:lang w:val="en-GB"/>
              </w:rPr>
              <w:br/>
            </w:r>
            <w:r w:rsidRPr="001A1D88">
              <w:rPr>
                <w:lang w:val="en-GB"/>
              </w:rPr>
              <w:t>&gt;=50,000 and &lt;75,000</w:t>
            </w:r>
            <w:r>
              <w:rPr>
                <w:lang w:val="en-GB"/>
              </w:rPr>
              <w:br/>
            </w:r>
            <w:r w:rsidRPr="001A1D88">
              <w:rPr>
                <w:lang w:val="en-GB"/>
              </w:rPr>
              <w:t>&gt;=75,000 and &lt;100,000</w:t>
            </w:r>
            <w:r>
              <w:rPr>
                <w:lang w:val="en-GB"/>
              </w:rPr>
              <w:br/>
            </w:r>
            <w:r w:rsidRPr="001A1D88">
              <w:rPr>
                <w:lang w:val="en-GB"/>
              </w:rPr>
              <w:t>&gt;=100,000 and &lt;150,000</w:t>
            </w:r>
            <w:r>
              <w:rPr>
                <w:lang w:val="en-GB"/>
              </w:rPr>
              <w:br/>
            </w:r>
            <w:r w:rsidRPr="001A1D88">
              <w:rPr>
                <w:lang w:val="en-GB"/>
              </w:rPr>
              <w:t>&gt;=150,000 and &lt;200,000</w:t>
            </w:r>
            <w:r>
              <w:rPr>
                <w:lang w:val="en-GB"/>
              </w:rPr>
              <w:br/>
            </w:r>
            <w:r w:rsidRPr="001A1D88">
              <w:rPr>
                <w:lang w:val="en-GB"/>
              </w:rPr>
              <w:t>&gt;=200,000 and &lt;250,000</w:t>
            </w:r>
            <w:r>
              <w:rPr>
                <w:lang w:val="en-GB"/>
              </w:rPr>
              <w:br/>
            </w:r>
            <w:r w:rsidRPr="001A1D88">
              <w:rPr>
                <w:lang w:val="en-GB"/>
              </w:rPr>
              <w:t>&gt;=250,000 and &lt;300,000</w:t>
            </w:r>
            <w:r>
              <w:rPr>
                <w:lang w:val="en-GB"/>
              </w:rPr>
              <w:br/>
            </w:r>
            <w:r w:rsidRPr="001A1D88">
              <w:rPr>
                <w:lang w:val="en-GB"/>
              </w:rPr>
              <w:t>&gt;=300,000 and &lt;350,000</w:t>
            </w:r>
            <w:r>
              <w:rPr>
                <w:lang w:val="en-GB"/>
              </w:rPr>
              <w:br/>
            </w:r>
            <w:r w:rsidRPr="001A1D88">
              <w:rPr>
                <w:lang w:val="en-GB"/>
              </w:rPr>
              <w:t>&gt;=350,000 and &lt;400,000</w:t>
            </w:r>
            <w:r>
              <w:rPr>
                <w:lang w:val="en-GB"/>
              </w:rPr>
              <w:br/>
            </w:r>
            <w:r w:rsidRPr="001A1D88">
              <w:rPr>
                <w:lang w:val="en-GB"/>
              </w:rPr>
              <w:t>&gt;=400,000 and &lt;450,000</w:t>
            </w:r>
            <w:r>
              <w:rPr>
                <w:lang w:val="en-GB"/>
              </w:rPr>
              <w:br/>
            </w:r>
            <w:r w:rsidRPr="001A1D88">
              <w:rPr>
                <w:lang w:val="en-GB"/>
              </w:rPr>
              <w:t>&gt;=450,000 and &lt;500,000</w:t>
            </w:r>
            <w:r>
              <w:rPr>
                <w:lang w:val="en-GB"/>
              </w:rPr>
              <w:br/>
            </w:r>
            <w:r w:rsidRPr="001A1D88">
              <w:rPr>
                <w:lang w:val="en-GB"/>
              </w:rPr>
              <w:t>&gt;=500,000 and &lt;600,000</w:t>
            </w:r>
            <w:r>
              <w:rPr>
                <w:lang w:val="en-GB"/>
              </w:rPr>
              <w:br/>
            </w:r>
            <w:r w:rsidRPr="001A1D88">
              <w:rPr>
                <w:lang w:val="en-GB"/>
              </w:rPr>
              <w:t>&gt;=600,000 and &lt;700,000</w:t>
            </w:r>
            <w:r>
              <w:rPr>
                <w:lang w:val="en-GB"/>
              </w:rPr>
              <w:br/>
            </w:r>
            <w:r w:rsidRPr="001A1D88">
              <w:rPr>
                <w:lang w:val="en-GB"/>
              </w:rPr>
              <w:t>&gt;=700,000 and &lt;800,000</w:t>
            </w:r>
            <w:r>
              <w:rPr>
                <w:lang w:val="en-GB"/>
              </w:rPr>
              <w:br/>
            </w:r>
            <w:r w:rsidRPr="001A1D88">
              <w:rPr>
                <w:lang w:val="en-GB"/>
              </w:rPr>
              <w:t>&gt;=800,000 and &lt;900,000</w:t>
            </w:r>
            <w:r>
              <w:rPr>
                <w:lang w:val="en-GB"/>
              </w:rPr>
              <w:br/>
            </w:r>
            <w:r w:rsidRPr="001A1D88">
              <w:rPr>
                <w:lang w:val="en-GB"/>
              </w:rPr>
              <w:t>&gt;=900,000 and &lt;1,000,000</w:t>
            </w:r>
          </w:p>
        </w:tc>
        <w:tc>
          <w:tcPr>
            <w:tcW w:w="3685" w:type="dxa"/>
          </w:tcPr>
          <w:p w:rsidR="009A76A4" w:rsidRPr="005D5B80" w:rsidRDefault="009A76A4" w:rsidP="009A76A4">
            <w:pPr>
              <w:spacing w:after="0" w:line="240" w:lineRule="auto"/>
              <w:rPr>
                <w:lang w:val="en-BE"/>
              </w:rPr>
            </w:pPr>
            <w:r>
              <w:rPr>
                <w:lang w:val="en-BE"/>
              </w:rPr>
              <w:t>Not present</w:t>
            </w:r>
          </w:p>
        </w:tc>
      </w:tr>
    </w:tbl>
    <w:p w:rsidR="009A76A4" w:rsidRPr="005D5B80" w:rsidRDefault="009A76A4" w:rsidP="009A76A4">
      <w:pPr>
        <w:ind w:left="360"/>
        <w:rPr>
          <w:lang w:val="en-BE"/>
        </w:rPr>
      </w:pPr>
    </w:p>
    <w:p w:rsidR="009A76A4" w:rsidRPr="00E57416" w:rsidRDefault="009A76A4" w:rsidP="009A76A4">
      <w:pPr>
        <w:pStyle w:val="Heading3"/>
        <w:rPr>
          <w:color w:val="2F5496" w:themeColor="accent1" w:themeShade="BF"/>
          <w:sz w:val="26"/>
          <w:szCs w:val="26"/>
          <w:lang w:val="en-GB"/>
        </w:rPr>
      </w:pPr>
      <w:bookmarkStart w:id="23" w:name="_Toc45273905"/>
      <w:bookmarkStart w:id="24" w:name="_Toc57805976"/>
      <w:r w:rsidRPr="00E57416">
        <w:rPr>
          <w:color w:val="2F5496" w:themeColor="accent1" w:themeShade="BF"/>
          <w:sz w:val="26"/>
          <w:szCs w:val="26"/>
          <w:lang w:val="en-GB"/>
        </w:rPr>
        <w:lastRenderedPageBreak/>
        <w:t>S</w:t>
      </w:r>
      <w:r w:rsidRPr="00E57416">
        <w:rPr>
          <w:lang w:val="en-BE"/>
        </w:rPr>
        <w:t>ustainable data section (</w:t>
      </w:r>
      <w:r w:rsidR="00B54BF3" w:rsidRPr="00E57416">
        <w:rPr>
          <w:color w:val="2F5496" w:themeColor="accent1" w:themeShade="BF"/>
          <w:sz w:val="26"/>
          <w:szCs w:val="26"/>
          <w:lang w:val="en-GB"/>
        </w:rPr>
        <w:t>1</w:t>
      </w:r>
      <w:r w:rsidRPr="00E57416">
        <w:rPr>
          <w:color w:val="2F5496" w:themeColor="accent1" w:themeShade="BF"/>
          <w:sz w:val="26"/>
          <w:szCs w:val="26"/>
          <w:lang w:val="en-GB"/>
        </w:rPr>
        <w:t>.A. Re</w:t>
      </w:r>
      <w:r w:rsidRPr="00E57416">
        <w:rPr>
          <w:lang w:val="en-GB"/>
        </w:rPr>
        <w:t xml:space="preserve">sidential mortgages </w:t>
      </w:r>
      <w:r w:rsidRPr="00E57416">
        <w:rPr>
          <w:color w:val="2F5496" w:themeColor="accent1" w:themeShade="BF"/>
          <w:sz w:val="26"/>
          <w:szCs w:val="26"/>
          <w:lang w:val="en-GB"/>
        </w:rPr>
        <w:t>1</w:t>
      </w:r>
      <w:r w:rsidRPr="00E57416">
        <w:rPr>
          <w:lang w:val="en-BE"/>
        </w:rPr>
        <w:t>5.- 19.</w:t>
      </w:r>
      <w:r w:rsidRPr="00E57416">
        <w:rPr>
          <w:lang w:val="en-GB"/>
        </w:rPr>
        <w:t xml:space="preserve"> And </w:t>
      </w:r>
      <w:r w:rsidR="00B54BF3" w:rsidRPr="00E57416">
        <w:rPr>
          <w:lang w:val="en-GB"/>
        </w:rPr>
        <w:t>1</w:t>
      </w:r>
      <w:r w:rsidRPr="00E57416">
        <w:rPr>
          <w:lang w:val="en-GB"/>
        </w:rPr>
        <w:t>.B. Commercial mortgages 24.-27.</w:t>
      </w:r>
      <w:r w:rsidRPr="00E57416">
        <w:rPr>
          <w:lang w:val="en-BE"/>
        </w:rPr>
        <w:t>)</w:t>
      </w:r>
      <w:bookmarkEnd w:id="23"/>
      <w:bookmarkEnd w:id="24"/>
      <w:r w:rsidRPr="00E57416">
        <w:rPr>
          <w:color w:val="2F5496" w:themeColor="accent1" w:themeShade="BF"/>
          <w:sz w:val="26"/>
          <w:szCs w:val="26"/>
          <w:lang w:val="en-GB"/>
        </w:rPr>
        <w:t xml:space="preserve"> </w:t>
      </w:r>
    </w:p>
    <w:p w:rsidR="009A76A4" w:rsidRPr="00E57416" w:rsidRDefault="009A76A4" w:rsidP="009A76A4">
      <w:pPr>
        <w:jc w:val="both"/>
        <w:rPr>
          <w:rFonts w:ascii="Verdana" w:hAnsi="Verdana"/>
          <w:sz w:val="18"/>
          <w:szCs w:val="18"/>
          <w:lang w:val="en-BE"/>
        </w:rPr>
      </w:pPr>
      <w:r w:rsidRPr="00E57416">
        <w:rPr>
          <w:lang w:val="en-BE"/>
        </w:rPr>
        <w:br/>
      </w:r>
      <w:r w:rsidRPr="00E57416">
        <w:rPr>
          <w:rFonts w:ascii="Verdana" w:hAnsi="Verdana"/>
          <w:sz w:val="18"/>
          <w:szCs w:val="18"/>
          <w:lang w:val="en-BE"/>
        </w:rPr>
        <w:t xml:space="preserve">The information related to energy efficiency is </w:t>
      </w:r>
      <w:r w:rsidRPr="00E57416">
        <w:rPr>
          <w:rFonts w:ascii="Verdana" w:hAnsi="Verdana"/>
          <w:sz w:val="18"/>
          <w:szCs w:val="18"/>
          <w:lang w:val="en-GB"/>
        </w:rPr>
        <w:t>provided</w:t>
      </w:r>
      <w:r w:rsidRPr="00E57416">
        <w:rPr>
          <w:rFonts w:ascii="Verdana" w:hAnsi="Verdana"/>
          <w:sz w:val="18"/>
          <w:szCs w:val="18"/>
          <w:lang w:val="en-BE"/>
        </w:rPr>
        <w:t xml:space="preserve"> for total mortgage</w:t>
      </w:r>
      <w:r w:rsidRPr="00E57416">
        <w:rPr>
          <w:rFonts w:ascii="Verdana" w:hAnsi="Verdana"/>
          <w:sz w:val="18"/>
          <w:szCs w:val="18"/>
          <w:lang w:val="en-GB"/>
        </w:rPr>
        <w:t>s</w:t>
      </w:r>
      <w:r w:rsidRPr="00E57416">
        <w:rPr>
          <w:rFonts w:ascii="Verdana" w:hAnsi="Verdana"/>
          <w:sz w:val="18"/>
          <w:szCs w:val="18"/>
          <w:lang w:val="en-BE"/>
        </w:rPr>
        <w:t xml:space="preserve"> outstanding and for the number of dwellings in each category (not number of loans as in the other categories). The new section inserted in Tab </w:t>
      </w:r>
      <w:r w:rsidR="00B54BF3" w:rsidRPr="00E57416">
        <w:rPr>
          <w:rFonts w:ascii="Verdana" w:hAnsi="Verdana"/>
          <w:sz w:val="18"/>
          <w:szCs w:val="18"/>
          <w:lang w:val="en-GB"/>
        </w:rPr>
        <w:t>A</w:t>
      </w:r>
      <w:r w:rsidRPr="00E57416">
        <w:rPr>
          <w:rFonts w:ascii="Verdana" w:hAnsi="Verdana"/>
          <w:sz w:val="18"/>
          <w:szCs w:val="18"/>
          <w:lang w:val="en-BE"/>
        </w:rPr>
        <w:t xml:space="preserve">1. </w:t>
      </w:r>
      <w:r w:rsidR="005E781A" w:rsidRPr="00E57416">
        <w:rPr>
          <w:rFonts w:ascii="Verdana" w:hAnsi="Verdana"/>
          <w:sz w:val="18"/>
          <w:szCs w:val="18"/>
          <w:lang w:val="en-GB"/>
        </w:rPr>
        <w:t>EEM General M</w:t>
      </w:r>
      <w:r w:rsidRPr="00E57416">
        <w:rPr>
          <w:rFonts w:ascii="Verdana" w:hAnsi="Verdana"/>
          <w:sz w:val="18"/>
          <w:szCs w:val="18"/>
          <w:lang w:val="en-BE"/>
        </w:rPr>
        <w:t>ortgage Assets focus</w:t>
      </w:r>
      <w:r w:rsidRPr="00E57416">
        <w:rPr>
          <w:rFonts w:ascii="Verdana" w:hAnsi="Verdana"/>
          <w:sz w:val="18"/>
          <w:szCs w:val="18"/>
          <w:lang w:val="en-GB"/>
        </w:rPr>
        <w:t>es</w:t>
      </w:r>
      <w:r w:rsidRPr="00E57416">
        <w:rPr>
          <w:rFonts w:ascii="Verdana" w:hAnsi="Verdana"/>
          <w:sz w:val="18"/>
          <w:szCs w:val="18"/>
          <w:lang w:val="en-BE"/>
        </w:rPr>
        <w:t xml:space="preserve"> on the entire mortgage pool, while the Tab. </w:t>
      </w:r>
      <w:r w:rsidR="005E781A" w:rsidRPr="00E57416">
        <w:rPr>
          <w:rFonts w:ascii="Verdana" w:hAnsi="Verdana"/>
          <w:sz w:val="18"/>
          <w:szCs w:val="18"/>
          <w:lang w:val="en-GB"/>
        </w:rPr>
        <w:t>B</w:t>
      </w:r>
      <w:r w:rsidRPr="00E57416">
        <w:rPr>
          <w:rFonts w:ascii="Verdana" w:hAnsi="Verdana"/>
          <w:sz w:val="18"/>
          <w:szCs w:val="18"/>
          <w:lang w:val="en-BE"/>
        </w:rPr>
        <w:t xml:space="preserve">1. </w:t>
      </w:r>
      <w:r w:rsidR="005E781A" w:rsidRPr="00E57416">
        <w:rPr>
          <w:rFonts w:ascii="Verdana" w:hAnsi="Verdana"/>
          <w:sz w:val="18"/>
          <w:szCs w:val="18"/>
          <w:lang w:val="en-GB"/>
        </w:rPr>
        <w:t>EEM Sust. Mortgage Assets</w:t>
      </w:r>
      <w:r w:rsidRPr="00E57416">
        <w:rPr>
          <w:rFonts w:ascii="Verdana" w:hAnsi="Verdana"/>
          <w:sz w:val="18"/>
          <w:szCs w:val="18"/>
          <w:lang w:val="en-BE"/>
        </w:rPr>
        <w:t xml:space="preserve"> M data focuses only on the subset of mortgages which are linked to </w:t>
      </w:r>
      <w:r w:rsidR="005E781A" w:rsidRPr="00E57416">
        <w:rPr>
          <w:rFonts w:ascii="Verdana" w:hAnsi="Verdana"/>
          <w:sz w:val="18"/>
          <w:szCs w:val="18"/>
          <w:lang w:val="en-GB"/>
        </w:rPr>
        <w:t>an EEM labelled product</w:t>
      </w:r>
      <w:r w:rsidRPr="00E57416">
        <w:rPr>
          <w:rFonts w:ascii="Verdana" w:hAnsi="Verdana"/>
          <w:sz w:val="18"/>
          <w:szCs w:val="18"/>
          <w:lang w:val="en-BE"/>
        </w:rPr>
        <w:t xml:space="preserve">. </w:t>
      </w:r>
    </w:p>
    <w:p w:rsidR="009A76A4" w:rsidRPr="00E57416" w:rsidRDefault="009A76A4" w:rsidP="00E57416">
      <w:pPr>
        <w:pStyle w:val="Heading4"/>
        <w:rPr>
          <w:lang w:val="en-US"/>
        </w:rPr>
      </w:pPr>
      <w:r w:rsidRPr="00E57416">
        <w:rPr>
          <w:lang w:val="en-US"/>
        </w:rPr>
        <w:t>Section 15. EPC information of the financed RRE – Section 24. EPC information of the financed CRE</w:t>
      </w:r>
    </w:p>
    <w:p w:rsidR="009A76A4" w:rsidRPr="00E57416" w:rsidRDefault="009A76A4" w:rsidP="009A76A4">
      <w:pPr>
        <w:rPr>
          <w:rFonts w:ascii="Verdana" w:hAnsi="Verdana"/>
          <w:sz w:val="18"/>
          <w:szCs w:val="18"/>
          <w:lang w:val="en-BE"/>
        </w:rPr>
      </w:pPr>
      <w:r w:rsidRPr="00E57416">
        <w:rPr>
          <w:rFonts w:ascii="Verdana" w:hAnsi="Verdana"/>
          <w:sz w:val="18"/>
          <w:szCs w:val="18"/>
          <w:lang w:val="en-BE"/>
        </w:rPr>
        <w:t xml:space="preserve">The exact bucket breakdown is defined at country level. </w:t>
      </w:r>
    </w:p>
    <w:p w:rsidR="009A76A4" w:rsidRPr="00E57416" w:rsidRDefault="009A76A4" w:rsidP="009A76A4">
      <w:pPr>
        <w:rPr>
          <w:rFonts w:ascii="Verdana" w:hAnsi="Verdana"/>
          <w:sz w:val="18"/>
          <w:szCs w:val="18"/>
          <w:lang w:val="en-BE"/>
        </w:rPr>
      </w:pPr>
      <w:r w:rsidRPr="00E57416">
        <w:rPr>
          <w:rFonts w:ascii="Verdana" w:hAnsi="Verdana"/>
          <w:sz w:val="18"/>
          <w:szCs w:val="18"/>
          <w:lang w:val="en-BE"/>
        </w:rPr>
        <w:t>[country specific breakdowns to be inserted here]</w:t>
      </w:r>
    </w:p>
    <w:p w:rsidR="009A76A4" w:rsidRPr="00E57416" w:rsidRDefault="009A76A4" w:rsidP="00E57416">
      <w:pPr>
        <w:pStyle w:val="Heading4"/>
        <w:rPr>
          <w:lang w:val="en-US"/>
        </w:rPr>
      </w:pPr>
      <w:r w:rsidRPr="00E57416">
        <w:rPr>
          <w:lang w:val="en-US"/>
        </w:rPr>
        <w:t>Section 16. Average energy use intensity (kWh/m2) (for RRE) – Section 25 Average energy use intensity (kWh/m2) (for CRE)</w:t>
      </w:r>
    </w:p>
    <w:p w:rsidR="009A76A4" w:rsidRPr="00E57416" w:rsidRDefault="009A76A4" w:rsidP="009A76A4">
      <w:pPr>
        <w:rPr>
          <w:rFonts w:ascii="Verdana" w:hAnsi="Verdana"/>
          <w:sz w:val="18"/>
          <w:szCs w:val="18"/>
          <w:lang w:val="en-BE"/>
        </w:rPr>
      </w:pPr>
      <w:r w:rsidRPr="00E57416">
        <w:rPr>
          <w:rFonts w:ascii="Verdana" w:hAnsi="Verdana"/>
          <w:sz w:val="18"/>
          <w:szCs w:val="18"/>
          <w:lang w:val="en-BE"/>
        </w:rPr>
        <w:t xml:space="preserve">The exact bucket breakdown is defined at country level. </w:t>
      </w:r>
    </w:p>
    <w:p w:rsidR="009A76A4" w:rsidRPr="00E57416" w:rsidRDefault="009A76A4" w:rsidP="009A76A4">
      <w:pPr>
        <w:rPr>
          <w:rFonts w:ascii="Verdana" w:hAnsi="Verdana"/>
          <w:sz w:val="18"/>
          <w:szCs w:val="18"/>
          <w:lang w:val="en-BE"/>
        </w:rPr>
      </w:pPr>
      <w:r w:rsidRPr="00E57416">
        <w:rPr>
          <w:rFonts w:ascii="Verdana" w:hAnsi="Verdana"/>
          <w:sz w:val="18"/>
          <w:szCs w:val="18"/>
          <w:lang w:val="en-BE"/>
        </w:rPr>
        <w:t>[country specific breakdowns to be inserted here]</w:t>
      </w:r>
    </w:p>
    <w:p w:rsidR="009A76A4" w:rsidRPr="00E57416" w:rsidRDefault="009A76A4" w:rsidP="00E57416">
      <w:pPr>
        <w:pStyle w:val="Heading4"/>
        <w:rPr>
          <w:lang w:val="en-US"/>
        </w:rPr>
      </w:pPr>
      <w:r w:rsidRPr="00E57416">
        <w:rPr>
          <w:lang w:val="en-US"/>
        </w:rPr>
        <w:t>Section 17. Property Age Structure (for RRE) – Section 26. CRE Age Structure</w:t>
      </w:r>
    </w:p>
    <w:p w:rsidR="009A76A4" w:rsidRPr="00E57416" w:rsidRDefault="009A76A4" w:rsidP="009A76A4">
      <w:pPr>
        <w:jc w:val="both"/>
        <w:rPr>
          <w:rFonts w:ascii="Verdana" w:hAnsi="Verdana"/>
          <w:sz w:val="18"/>
          <w:szCs w:val="18"/>
          <w:lang w:val="en-BE"/>
        </w:rPr>
      </w:pPr>
      <w:r w:rsidRPr="00E57416">
        <w:rPr>
          <w:rFonts w:ascii="Verdana" w:hAnsi="Verdana"/>
          <w:sz w:val="18"/>
          <w:szCs w:val="18"/>
          <w:lang w:val="en-BE"/>
        </w:rPr>
        <w:t xml:space="preserve">Here the </w:t>
      </w:r>
      <w:r w:rsidR="009D736D">
        <w:rPr>
          <w:rFonts w:ascii="Verdana" w:hAnsi="Verdana"/>
          <w:sz w:val="18"/>
          <w:szCs w:val="18"/>
          <w:lang w:val="en-GB"/>
        </w:rPr>
        <w:t>lending institution</w:t>
      </w:r>
      <w:r w:rsidRPr="00E57416">
        <w:rPr>
          <w:rFonts w:ascii="Verdana" w:hAnsi="Verdana"/>
          <w:sz w:val="18"/>
          <w:szCs w:val="18"/>
          <w:lang w:val="en-BE"/>
        </w:rPr>
        <w:t xml:space="preserve"> is invited to provide information on the age of the </w:t>
      </w:r>
      <w:r w:rsidRPr="00E57416">
        <w:rPr>
          <w:rFonts w:ascii="Verdana" w:hAnsi="Verdana"/>
          <w:sz w:val="18"/>
          <w:szCs w:val="18"/>
          <w:lang w:val="en-GB"/>
        </w:rPr>
        <w:t xml:space="preserve">property </w:t>
      </w:r>
      <w:r w:rsidRPr="00E57416">
        <w:rPr>
          <w:rFonts w:ascii="Verdana" w:hAnsi="Verdana"/>
          <w:sz w:val="18"/>
          <w:szCs w:val="18"/>
          <w:lang w:val="en-BE"/>
        </w:rPr>
        <w:t xml:space="preserve">against which the mortgage loans are pledged. For this section the focus is on the </w:t>
      </w:r>
      <w:r w:rsidRPr="00E57416">
        <w:rPr>
          <w:rFonts w:ascii="Verdana" w:hAnsi="Verdana"/>
          <w:sz w:val="18"/>
          <w:szCs w:val="18"/>
          <w:lang w:val="en-GB"/>
        </w:rPr>
        <w:t>original year of</w:t>
      </w:r>
      <w:r w:rsidRPr="00E57416">
        <w:rPr>
          <w:rFonts w:ascii="Verdana" w:hAnsi="Verdana"/>
          <w:sz w:val="18"/>
          <w:szCs w:val="18"/>
          <w:lang w:val="en-BE"/>
        </w:rPr>
        <w:t xml:space="preserve"> construction </w:t>
      </w:r>
      <w:r w:rsidRPr="00E57416">
        <w:rPr>
          <w:rFonts w:ascii="Verdana" w:hAnsi="Verdana"/>
          <w:sz w:val="18"/>
          <w:szCs w:val="18"/>
          <w:lang w:val="en-GB"/>
        </w:rPr>
        <w:t>of the building</w:t>
      </w:r>
      <w:r w:rsidRPr="00E57416">
        <w:rPr>
          <w:rFonts w:ascii="Verdana" w:hAnsi="Verdana"/>
          <w:sz w:val="18"/>
          <w:szCs w:val="18"/>
          <w:lang w:val="en-BE"/>
        </w:rPr>
        <w:t xml:space="preserve">. </w:t>
      </w:r>
      <w:r w:rsidRPr="00E57416">
        <w:rPr>
          <w:rFonts w:ascii="Verdana" w:hAnsi="Verdana"/>
          <w:sz w:val="18"/>
          <w:szCs w:val="18"/>
          <w:lang w:val="en-GB"/>
        </w:rPr>
        <w:t>This section is understood to be the</w:t>
      </w:r>
      <w:bookmarkStart w:id="25" w:name="_GoBack"/>
      <w:bookmarkEnd w:id="25"/>
      <w:r w:rsidRPr="00E57416">
        <w:rPr>
          <w:rFonts w:ascii="Verdana" w:hAnsi="Verdana"/>
          <w:sz w:val="18"/>
          <w:szCs w:val="18"/>
          <w:lang w:val="en-GB"/>
        </w:rPr>
        <w:t xml:space="preserve"> aggregate of the EeDaPP Master Template – Tab. Property – Field Code FB36. </w:t>
      </w:r>
      <w:r w:rsidRPr="00E57416">
        <w:rPr>
          <w:rFonts w:ascii="Verdana" w:hAnsi="Verdana"/>
          <w:i/>
          <w:iCs/>
          <w:sz w:val="18"/>
          <w:szCs w:val="18"/>
          <w:lang w:val="en-GB"/>
        </w:rPr>
        <w:t>“</w:t>
      </w:r>
      <w:r w:rsidRPr="00E57416">
        <w:rPr>
          <w:rFonts w:ascii="Verdana" w:hAnsi="Verdana"/>
          <w:i/>
          <w:iCs/>
          <w:sz w:val="18"/>
          <w:szCs w:val="18"/>
          <w:lang w:val="en-BE"/>
        </w:rPr>
        <w:t>Indicate the year when the property was originally built (YYYY format). In the case of a conversion of a building into flats, the date of conversion should be supplied. If no data available refer to Taxonomy for inputs.</w:t>
      </w:r>
      <w:r w:rsidRPr="00E57416">
        <w:rPr>
          <w:rFonts w:ascii="Verdana" w:hAnsi="Verdana"/>
          <w:i/>
          <w:iCs/>
          <w:sz w:val="18"/>
          <w:szCs w:val="18"/>
          <w:lang w:val="en-GB"/>
        </w:rPr>
        <w:t>”</w:t>
      </w:r>
      <w:r w:rsidRPr="00E57416">
        <w:rPr>
          <w:rFonts w:ascii="Verdana" w:hAnsi="Verdana"/>
          <w:sz w:val="18"/>
          <w:szCs w:val="18"/>
          <w:lang w:val="en-GB"/>
        </w:rPr>
        <w:t xml:space="preserve"> </w:t>
      </w:r>
      <w:r w:rsidRPr="00E57416">
        <w:rPr>
          <w:rFonts w:ascii="Verdana" w:hAnsi="Verdana"/>
          <w:sz w:val="18"/>
          <w:szCs w:val="18"/>
          <w:lang w:val="en-BE"/>
        </w:rPr>
        <w:t xml:space="preserve">The information provided here is slightly different with respect to </w:t>
      </w:r>
      <w:r w:rsidRPr="00E57416">
        <w:rPr>
          <w:rFonts w:ascii="Verdana" w:hAnsi="Verdana"/>
          <w:sz w:val="18"/>
          <w:szCs w:val="18"/>
          <w:lang w:val="en-GB"/>
        </w:rPr>
        <w:t>that</w:t>
      </w:r>
      <w:r w:rsidRPr="00E57416">
        <w:rPr>
          <w:rFonts w:ascii="Verdana" w:hAnsi="Verdana"/>
          <w:sz w:val="18"/>
          <w:szCs w:val="18"/>
          <w:lang w:val="en-BE"/>
        </w:rPr>
        <w:t xml:space="preserve"> in section 19. New Residential </w:t>
      </w:r>
      <w:r w:rsidRPr="00E57416">
        <w:rPr>
          <w:rFonts w:ascii="Verdana" w:hAnsi="Verdana"/>
          <w:sz w:val="18"/>
          <w:szCs w:val="18"/>
          <w:lang w:val="en-GB"/>
        </w:rPr>
        <w:t>dwelling</w:t>
      </w:r>
      <w:r w:rsidRPr="00E57416">
        <w:rPr>
          <w:rFonts w:ascii="Verdana" w:hAnsi="Verdana"/>
          <w:sz w:val="18"/>
          <w:szCs w:val="18"/>
          <w:lang w:val="en-BE"/>
        </w:rPr>
        <w:t xml:space="preserve">. </w:t>
      </w:r>
    </w:p>
    <w:p w:rsidR="009A76A4" w:rsidRPr="00E57416" w:rsidRDefault="009A76A4" w:rsidP="00E57416">
      <w:pPr>
        <w:pStyle w:val="Heading4"/>
        <w:rPr>
          <w:lang w:val="en-US"/>
        </w:rPr>
      </w:pPr>
      <w:r w:rsidRPr="00E57416">
        <w:rPr>
          <w:lang w:val="en-US"/>
        </w:rPr>
        <w:t>Section 18. Dwelling type</w:t>
      </w:r>
    </w:p>
    <w:p w:rsidR="009A76A4" w:rsidRPr="00E57416" w:rsidRDefault="009A76A4" w:rsidP="009A76A4">
      <w:pPr>
        <w:jc w:val="both"/>
        <w:rPr>
          <w:rFonts w:ascii="Verdana" w:hAnsi="Verdana"/>
          <w:sz w:val="18"/>
          <w:szCs w:val="18"/>
          <w:lang w:val="en-GB"/>
        </w:rPr>
      </w:pPr>
      <w:r w:rsidRPr="00E57416">
        <w:rPr>
          <w:rFonts w:ascii="Verdana" w:hAnsi="Verdana"/>
          <w:sz w:val="18"/>
          <w:szCs w:val="18"/>
          <w:lang w:val="en-BE"/>
        </w:rPr>
        <w:t>Type of dwelling construction, which is different from the information requested in section 13. Breakdown by type</w:t>
      </w:r>
      <w:r w:rsidRPr="00E57416">
        <w:rPr>
          <w:rFonts w:ascii="Verdana" w:hAnsi="Verdana"/>
          <w:sz w:val="18"/>
          <w:szCs w:val="18"/>
          <w:lang w:val="en-GB"/>
        </w:rPr>
        <w:t xml:space="preserve"> as here the focus is on the type of construction which is financed, while in section 13 the focus is on the purpose of the acquired RRE.</w:t>
      </w:r>
    </w:p>
    <w:p w:rsidR="009A76A4" w:rsidRPr="00E57416" w:rsidRDefault="009A76A4" w:rsidP="00E57416">
      <w:pPr>
        <w:pStyle w:val="Heading4"/>
        <w:rPr>
          <w:lang w:val="en-US"/>
        </w:rPr>
      </w:pPr>
      <w:r w:rsidRPr="00E57416">
        <w:rPr>
          <w:lang w:val="en-US"/>
        </w:rPr>
        <w:t>Section 19. New Residential property – Section 27. New Commercial Property</w:t>
      </w:r>
    </w:p>
    <w:p w:rsidR="009A76A4" w:rsidRPr="00E57416" w:rsidRDefault="009A76A4" w:rsidP="009A76A4">
      <w:pPr>
        <w:jc w:val="both"/>
        <w:rPr>
          <w:rFonts w:ascii="Verdana" w:hAnsi="Verdana"/>
          <w:sz w:val="18"/>
          <w:szCs w:val="18"/>
          <w:lang w:val="en-GB"/>
        </w:rPr>
      </w:pPr>
      <w:r w:rsidRPr="00E57416">
        <w:rPr>
          <w:rFonts w:ascii="Verdana" w:hAnsi="Verdana"/>
          <w:sz w:val="18"/>
          <w:szCs w:val="18"/>
          <w:lang w:val="en-GB"/>
        </w:rPr>
        <w:t>Here the focus is on reporting if the property is new or an existing dwelling. The definition of “new” is left to the national jurisdictions (eg. Different VAT treatment at the time of acquisition, etc.).</w:t>
      </w:r>
    </w:p>
    <w:p w:rsidR="009A76A4" w:rsidRPr="00E57416" w:rsidRDefault="009A76A4" w:rsidP="009A76A4">
      <w:pPr>
        <w:rPr>
          <w:rFonts w:ascii="Verdana" w:hAnsi="Verdana"/>
          <w:sz w:val="18"/>
          <w:szCs w:val="18"/>
          <w:lang w:val="en-GB"/>
        </w:rPr>
      </w:pPr>
      <w:r w:rsidRPr="00E57416">
        <w:rPr>
          <w:rFonts w:ascii="Verdana" w:hAnsi="Verdana"/>
          <w:sz w:val="18"/>
          <w:szCs w:val="18"/>
          <w:lang w:val="en-BE"/>
        </w:rPr>
        <w:t>P</w:t>
      </w:r>
      <w:r w:rsidRPr="00E57416">
        <w:rPr>
          <w:rFonts w:ascii="Verdana" w:hAnsi="Verdana"/>
          <w:sz w:val="18"/>
          <w:szCs w:val="18"/>
          <w:lang w:val="en-GB"/>
        </w:rPr>
        <w:t>ractical example</w:t>
      </w:r>
      <w:r w:rsidRPr="00E57416">
        <w:rPr>
          <w:rFonts w:ascii="Verdana" w:hAnsi="Verdana"/>
          <w:sz w:val="18"/>
          <w:szCs w:val="18"/>
          <w:lang w:val="en-BE"/>
        </w:rPr>
        <w:t>s</w:t>
      </w:r>
      <w:r w:rsidRPr="00E57416">
        <w:rPr>
          <w:rFonts w:ascii="Verdana" w:hAnsi="Verdana"/>
          <w:sz w:val="18"/>
          <w:szCs w:val="18"/>
          <w:lang w:val="en-GB"/>
        </w:rPr>
        <w:t xml:space="preserve"> in order to encode the data for in section 17 and 19:</w:t>
      </w:r>
    </w:p>
    <w:p w:rsidR="009A76A4" w:rsidRPr="00E57416" w:rsidRDefault="009A76A4" w:rsidP="009A76A4">
      <w:pPr>
        <w:pStyle w:val="ListParagraph"/>
        <w:numPr>
          <w:ilvl w:val="0"/>
          <w:numId w:val="6"/>
        </w:numPr>
        <w:rPr>
          <w:rFonts w:ascii="Verdana" w:hAnsi="Verdana"/>
          <w:sz w:val="18"/>
          <w:szCs w:val="18"/>
          <w:lang w:val="en-GB"/>
        </w:rPr>
      </w:pPr>
      <w:r w:rsidRPr="00E57416">
        <w:rPr>
          <w:rFonts w:ascii="Verdana" w:hAnsi="Verdana"/>
          <w:sz w:val="18"/>
          <w:szCs w:val="18"/>
          <w:lang w:val="en-GB"/>
        </w:rPr>
        <w:t>A building built in 1920 but converted into residential units in 2019:</w:t>
      </w:r>
    </w:p>
    <w:p w:rsidR="009A76A4" w:rsidRPr="00E57416" w:rsidRDefault="009A76A4" w:rsidP="009A76A4">
      <w:pPr>
        <w:pStyle w:val="ListParagraph"/>
        <w:numPr>
          <w:ilvl w:val="1"/>
          <w:numId w:val="6"/>
        </w:numPr>
        <w:rPr>
          <w:rFonts w:ascii="Verdana" w:hAnsi="Verdana"/>
          <w:sz w:val="18"/>
          <w:szCs w:val="18"/>
          <w:lang w:val="en-GB"/>
        </w:rPr>
      </w:pPr>
      <w:r w:rsidRPr="00E57416">
        <w:rPr>
          <w:rFonts w:ascii="Verdana" w:hAnsi="Verdana"/>
          <w:sz w:val="18"/>
          <w:szCs w:val="18"/>
          <w:lang w:val="en-GB"/>
        </w:rPr>
        <w:t>Section 17 - Property age: 2006 and later</w:t>
      </w:r>
    </w:p>
    <w:p w:rsidR="009A76A4" w:rsidRPr="00E57416" w:rsidRDefault="009A76A4" w:rsidP="009A76A4">
      <w:pPr>
        <w:pStyle w:val="ListParagraph"/>
        <w:numPr>
          <w:ilvl w:val="1"/>
          <w:numId w:val="6"/>
        </w:numPr>
        <w:jc w:val="both"/>
        <w:rPr>
          <w:rFonts w:ascii="Verdana" w:hAnsi="Verdana"/>
          <w:sz w:val="18"/>
          <w:szCs w:val="18"/>
          <w:lang w:val="en-GB"/>
        </w:rPr>
      </w:pPr>
      <w:r w:rsidRPr="00E57416">
        <w:rPr>
          <w:rFonts w:ascii="Verdana" w:hAnsi="Verdana"/>
          <w:sz w:val="18"/>
          <w:szCs w:val="18"/>
          <w:lang w:val="en-GB"/>
        </w:rPr>
        <w:t>Section 19 – New Residential Property: “New property or existing property” (depending on the national jurisdiction – e.g. In Belgium on such a property the buyer would need to pay VAT as it is considered a new construction and as such it would be considered a “new property”)</w:t>
      </w:r>
    </w:p>
    <w:p w:rsidR="009A76A4" w:rsidRPr="00E57416" w:rsidRDefault="009A76A4" w:rsidP="009A76A4">
      <w:pPr>
        <w:pStyle w:val="ListParagraph"/>
        <w:numPr>
          <w:ilvl w:val="0"/>
          <w:numId w:val="6"/>
        </w:numPr>
        <w:rPr>
          <w:rFonts w:ascii="Verdana" w:hAnsi="Verdana"/>
          <w:sz w:val="18"/>
          <w:szCs w:val="18"/>
          <w:lang w:val="en-GB"/>
        </w:rPr>
      </w:pPr>
      <w:r w:rsidRPr="00E57416">
        <w:rPr>
          <w:rFonts w:ascii="Verdana" w:hAnsi="Verdana"/>
          <w:sz w:val="18"/>
          <w:szCs w:val="18"/>
          <w:lang w:val="en-GB"/>
        </w:rPr>
        <w:t>An apartment building from 1950 which has never been renovated:</w:t>
      </w:r>
    </w:p>
    <w:p w:rsidR="009A76A4" w:rsidRPr="00E57416" w:rsidRDefault="009A76A4" w:rsidP="009A76A4">
      <w:pPr>
        <w:pStyle w:val="ListParagraph"/>
        <w:numPr>
          <w:ilvl w:val="1"/>
          <w:numId w:val="6"/>
        </w:numPr>
        <w:rPr>
          <w:rFonts w:ascii="Verdana" w:hAnsi="Verdana"/>
          <w:sz w:val="18"/>
          <w:szCs w:val="18"/>
          <w:lang w:val="en-GB"/>
        </w:rPr>
      </w:pPr>
      <w:r w:rsidRPr="00E57416">
        <w:rPr>
          <w:rFonts w:ascii="Verdana" w:hAnsi="Verdana"/>
          <w:sz w:val="18"/>
          <w:szCs w:val="18"/>
          <w:lang w:val="en-GB"/>
        </w:rPr>
        <w:t>Section 17 – Property age: 1945-1960</w:t>
      </w:r>
    </w:p>
    <w:p w:rsidR="009A76A4" w:rsidRPr="00E57416" w:rsidRDefault="009A76A4" w:rsidP="001B1125">
      <w:pPr>
        <w:pStyle w:val="ListParagraph"/>
        <w:numPr>
          <w:ilvl w:val="1"/>
          <w:numId w:val="6"/>
        </w:numPr>
        <w:jc w:val="both"/>
        <w:rPr>
          <w:lang w:val="en-BE"/>
        </w:rPr>
      </w:pPr>
      <w:r w:rsidRPr="00E57416">
        <w:rPr>
          <w:rFonts w:ascii="Verdana" w:hAnsi="Verdana"/>
          <w:sz w:val="18"/>
          <w:szCs w:val="18"/>
          <w:lang w:val="en-GB"/>
        </w:rPr>
        <w:t>Section 19 – New Residential Property: “Existing property”</w:t>
      </w:r>
      <w:bookmarkStart w:id="26" w:name="_Toc45273910"/>
      <w:r w:rsidRPr="00E57416">
        <w:rPr>
          <w:lang w:val="en-BE"/>
        </w:rPr>
        <w:br w:type="page"/>
      </w:r>
    </w:p>
    <w:p w:rsidR="009A76A4" w:rsidRDefault="005E781A" w:rsidP="009A76A4">
      <w:pPr>
        <w:pStyle w:val="Heading2"/>
        <w:jc w:val="both"/>
        <w:rPr>
          <w:lang w:val="en-GB"/>
        </w:rPr>
      </w:pPr>
      <w:bookmarkStart w:id="27" w:name="_Toc57805977"/>
      <w:r>
        <w:rPr>
          <w:lang w:val="en-GB"/>
        </w:rPr>
        <w:lastRenderedPageBreak/>
        <w:t>B</w:t>
      </w:r>
      <w:r w:rsidR="009A76A4">
        <w:rPr>
          <w:lang w:val="en-BE"/>
        </w:rPr>
        <w:t>1</w:t>
      </w:r>
      <w:r w:rsidR="009A76A4" w:rsidRPr="00E53FCD">
        <w:rPr>
          <w:lang w:val="en-GB"/>
        </w:rPr>
        <w:t xml:space="preserve">. </w:t>
      </w:r>
      <w:r>
        <w:rPr>
          <w:lang w:val="en-GB"/>
        </w:rPr>
        <w:t>EEM</w:t>
      </w:r>
      <w:r w:rsidR="009A76A4" w:rsidRPr="00E53FCD">
        <w:rPr>
          <w:lang w:val="en-GB"/>
        </w:rPr>
        <w:t xml:space="preserve"> </w:t>
      </w:r>
      <w:r w:rsidR="009A76A4">
        <w:rPr>
          <w:lang w:val="en-BE"/>
        </w:rPr>
        <w:t>Sustainable Mortgage</w:t>
      </w:r>
      <w:r w:rsidR="009A76A4" w:rsidRPr="00E53FCD">
        <w:rPr>
          <w:lang w:val="en-GB"/>
        </w:rPr>
        <w:t xml:space="preserve"> </w:t>
      </w:r>
      <w:bookmarkEnd w:id="26"/>
      <w:r>
        <w:rPr>
          <w:lang w:val="en-GB"/>
        </w:rPr>
        <w:t>Assets</w:t>
      </w:r>
      <w:bookmarkEnd w:id="27"/>
    </w:p>
    <w:p w:rsidR="009A76A4" w:rsidRPr="009C38EB" w:rsidRDefault="009A76A4" w:rsidP="009A76A4">
      <w:pPr>
        <w:jc w:val="both"/>
        <w:rPr>
          <w:rFonts w:ascii="Verdana" w:hAnsi="Verdana"/>
          <w:sz w:val="18"/>
          <w:szCs w:val="18"/>
          <w:lang w:val="en-BE"/>
        </w:rPr>
      </w:pPr>
      <w:r w:rsidRPr="009C38EB">
        <w:rPr>
          <w:rFonts w:ascii="Verdana" w:hAnsi="Verdana"/>
          <w:sz w:val="18"/>
          <w:szCs w:val="18"/>
          <w:lang w:val="en-BE"/>
        </w:rPr>
        <w:t xml:space="preserve">This section focuses exclusively on the subset of mortgage loans which are </w:t>
      </w:r>
      <w:r w:rsidR="005E781A">
        <w:rPr>
          <w:rFonts w:ascii="Verdana" w:hAnsi="Verdana"/>
          <w:sz w:val="18"/>
          <w:szCs w:val="18"/>
          <w:lang w:val="en-GB"/>
        </w:rPr>
        <w:t>part of a labelled EEM product</w:t>
      </w:r>
      <w:r w:rsidRPr="009C38EB">
        <w:rPr>
          <w:rFonts w:ascii="Verdana" w:hAnsi="Verdana"/>
          <w:sz w:val="18"/>
          <w:szCs w:val="18"/>
          <w:lang w:val="en-BE"/>
        </w:rPr>
        <w:t>.</w:t>
      </w:r>
    </w:p>
    <w:p w:rsidR="009A76A4" w:rsidRPr="005E781A" w:rsidRDefault="009A76A4" w:rsidP="009A76A4">
      <w:pPr>
        <w:pStyle w:val="Heading3"/>
        <w:jc w:val="both"/>
        <w:rPr>
          <w:lang w:val="en-GB"/>
        </w:rPr>
      </w:pPr>
      <w:bookmarkStart w:id="28" w:name="_Toc45273911"/>
      <w:bookmarkStart w:id="29" w:name="_Toc57805978"/>
      <w:r>
        <w:rPr>
          <w:lang w:val="en-GB"/>
        </w:rPr>
        <w:t xml:space="preserve">Section </w:t>
      </w:r>
      <w:r>
        <w:rPr>
          <w:lang w:val="en-BE"/>
        </w:rPr>
        <w:t xml:space="preserve">1. Share of </w:t>
      </w:r>
      <w:bookmarkEnd w:id="28"/>
      <w:r w:rsidR="005E781A">
        <w:rPr>
          <w:lang w:val="en-GB"/>
        </w:rPr>
        <w:t>EEMI-eligible loans in the total mortgage program</w:t>
      </w:r>
      <w:bookmarkEnd w:id="29"/>
    </w:p>
    <w:p w:rsidR="009A76A4" w:rsidRPr="00E9001E" w:rsidRDefault="005E781A" w:rsidP="005E781A">
      <w:pPr>
        <w:jc w:val="both"/>
        <w:rPr>
          <w:rFonts w:ascii="Verdana" w:hAnsi="Verdana"/>
          <w:sz w:val="18"/>
          <w:szCs w:val="18"/>
          <w:lang w:val="en-GB"/>
        </w:rPr>
      </w:pPr>
      <w:r>
        <w:rPr>
          <w:rFonts w:ascii="Verdana" w:hAnsi="Verdana"/>
          <w:sz w:val="18"/>
          <w:szCs w:val="18"/>
          <w:lang w:val="en-GB"/>
        </w:rPr>
        <w:t>Loans</w:t>
      </w:r>
      <w:r w:rsidR="009A76A4" w:rsidRPr="009C38EB">
        <w:rPr>
          <w:rFonts w:ascii="Verdana" w:hAnsi="Verdana"/>
          <w:sz w:val="18"/>
          <w:szCs w:val="18"/>
          <w:lang w:val="en-BE"/>
        </w:rPr>
        <w:t xml:space="preserve"> </w:t>
      </w:r>
      <w:r>
        <w:rPr>
          <w:rFonts w:ascii="Verdana" w:hAnsi="Verdana"/>
          <w:sz w:val="18"/>
          <w:szCs w:val="18"/>
          <w:lang w:val="en-GB"/>
        </w:rPr>
        <w:t>issued through an EEM labelled product with respect to the total mortgage portfolio of the lending institution. The exact eligibility criteria are laid out by the specific labelled product which can be further highlighted in the C.EEM Harmonised Glossary.</w:t>
      </w:r>
      <w:r w:rsidR="009A76A4" w:rsidRPr="009C38EB">
        <w:rPr>
          <w:rFonts w:ascii="Verdana" w:hAnsi="Verdana"/>
          <w:sz w:val="18"/>
          <w:szCs w:val="18"/>
          <w:lang w:val="en-BE"/>
        </w:rPr>
        <w:t xml:space="preserve"> </w:t>
      </w:r>
    </w:p>
    <w:p w:rsidR="00E57416" w:rsidRPr="00E57416" w:rsidRDefault="00E57416" w:rsidP="00E57416">
      <w:pPr>
        <w:pStyle w:val="Heading4"/>
        <w:rPr>
          <w:lang w:val="en-US"/>
        </w:rPr>
      </w:pPr>
      <w:bookmarkStart w:id="30" w:name="_Toc45273912"/>
      <w:r w:rsidRPr="00E57416">
        <w:rPr>
          <w:lang w:val="en-US"/>
        </w:rPr>
        <w:t xml:space="preserve">Section </w:t>
      </w:r>
      <w:r w:rsidRPr="00E57416">
        <w:rPr>
          <w:lang w:val="en-US"/>
        </w:rPr>
        <w:t>1</w:t>
      </w:r>
      <w:r w:rsidRPr="00E57416">
        <w:rPr>
          <w:lang w:val="en-US"/>
        </w:rPr>
        <w:t>.</w:t>
      </w:r>
      <w:r w:rsidRPr="00E57416">
        <w:rPr>
          <w:lang w:val="en-US"/>
        </w:rPr>
        <w:t>2 EEMI eligi</w:t>
      </w:r>
      <w:r>
        <w:rPr>
          <w:lang w:val="en-US"/>
        </w:rPr>
        <w:t>b</w:t>
      </w:r>
      <w:r w:rsidRPr="00E57416">
        <w:rPr>
          <w:lang w:val="en-US"/>
        </w:rPr>
        <w:t>le loan flow</w:t>
      </w:r>
    </w:p>
    <w:bookmarkEnd w:id="30"/>
    <w:p w:rsidR="005E781A" w:rsidRDefault="009A76A4" w:rsidP="009A76A4">
      <w:pPr>
        <w:jc w:val="both"/>
        <w:rPr>
          <w:rFonts w:ascii="Verdana" w:hAnsi="Verdana"/>
          <w:sz w:val="18"/>
          <w:szCs w:val="18"/>
          <w:lang w:val="en-BE"/>
        </w:rPr>
      </w:pPr>
      <w:r w:rsidRPr="009C38EB">
        <w:rPr>
          <w:rFonts w:ascii="Verdana" w:hAnsi="Verdana"/>
          <w:sz w:val="18"/>
          <w:szCs w:val="18"/>
          <w:lang w:val="en-BE"/>
        </w:rPr>
        <w:t xml:space="preserve">This section </w:t>
      </w:r>
      <w:r w:rsidR="005E781A">
        <w:rPr>
          <w:rFonts w:ascii="Verdana" w:hAnsi="Verdana"/>
          <w:sz w:val="18"/>
          <w:szCs w:val="18"/>
          <w:lang w:val="en-GB"/>
        </w:rPr>
        <w:t xml:space="preserve">is necessary to track the new issuance of EEM labelled mortgages in order to assess the volume issuance fee (VIF) due for the labelled product. As a recap the VIF </w:t>
      </w:r>
      <w:r w:rsidR="00E57416">
        <w:rPr>
          <w:rFonts w:ascii="Verdana" w:hAnsi="Verdana"/>
          <w:sz w:val="18"/>
          <w:szCs w:val="18"/>
          <w:lang w:val="en-GB"/>
        </w:rPr>
        <w:t>charges EUR 1 every EUR 1,000,000 of EEM labelled mortgages issued the previous year.</w:t>
      </w:r>
    </w:p>
    <w:p w:rsidR="009A76A4" w:rsidRPr="009A76A4" w:rsidRDefault="009A76A4" w:rsidP="009A76A4">
      <w:pPr>
        <w:rPr>
          <w:rFonts w:ascii="Verdana" w:hAnsi="Verdana"/>
          <w:sz w:val="18"/>
          <w:szCs w:val="18"/>
          <w:lang w:val="en-GB"/>
        </w:rPr>
      </w:pPr>
    </w:p>
    <w:p w:rsidR="009A76A4" w:rsidRPr="009A76A4" w:rsidRDefault="009A76A4">
      <w:pPr>
        <w:rPr>
          <w:lang w:val="en-GB"/>
        </w:rPr>
      </w:pPr>
    </w:p>
    <w:sectPr w:rsidR="009A76A4" w:rsidRPr="009A76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6A4" w:rsidRDefault="009A76A4" w:rsidP="009A76A4">
      <w:pPr>
        <w:spacing w:after="0" w:line="240" w:lineRule="auto"/>
      </w:pPr>
      <w:r>
        <w:separator/>
      </w:r>
    </w:p>
  </w:endnote>
  <w:endnote w:type="continuationSeparator" w:id="0">
    <w:p w:rsidR="009A76A4" w:rsidRDefault="009A76A4" w:rsidP="009A7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6A4" w:rsidRDefault="009A76A4" w:rsidP="009A76A4">
      <w:pPr>
        <w:spacing w:after="0" w:line="240" w:lineRule="auto"/>
      </w:pPr>
      <w:r>
        <w:separator/>
      </w:r>
    </w:p>
  </w:footnote>
  <w:footnote w:type="continuationSeparator" w:id="0">
    <w:p w:rsidR="009A76A4" w:rsidRDefault="009A76A4" w:rsidP="009A7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6A4" w:rsidRDefault="009A76A4">
    <w:pPr>
      <w:pStyle w:val="Header"/>
    </w:pPr>
    <w:r>
      <w:rPr>
        <w:noProof/>
      </w:rPr>
      <w:drawing>
        <wp:inline distT="0" distB="0" distL="0" distR="0" wp14:anchorId="734B7368" wp14:editId="36F72267">
          <wp:extent cx="877892" cy="533400"/>
          <wp:effectExtent l="0" t="0" r="0" b="0"/>
          <wp:docPr id="12" name="Picture 11">
            <a:extLst xmlns:a="http://schemas.openxmlformats.org/drawingml/2006/main">
              <a:ext uri="{FF2B5EF4-FFF2-40B4-BE49-F238E27FC236}">
                <a16:creationId xmlns:a16="http://schemas.microsoft.com/office/drawing/2014/main" id="{8C7DC866-1B2F-46F8-B20C-E9E5A5AFD7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8C7DC866-1B2F-46F8-B20C-E9E5A5AFD78A}"/>
                      </a:ext>
                    </a:extLst>
                  </pic:cNvPr>
                  <pic:cNvPicPr>
                    <a:picLocks noChangeAspect="1"/>
                  </pic:cNvPicPr>
                </pic:nvPicPr>
                <pic:blipFill>
                  <a:blip r:embed="rId1"/>
                  <a:stretch>
                    <a:fillRect/>
                  </a:stretch>
                </pic:blipFill>
                <pic:spPr>
                  <a:xfrm>
                    <a:off x="0" y="0"/>
                    <a:ext cx="883967" cy="537091"/>
                  </a:xfrm>
                  <a:prstGeom prst="rect">
                    <a:avLst/>
                  </a:prstGeom>
                </pic:spPr>
              </pic:pic>
            </a:graphicData>
          </a:graphic>
        </wp:inline>
      </w:drawing>
    </w:r>
  </w:p>
  <w:p w:rsidR="009A76A4" w:rsidRDefault="009A7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6794F"/>
    <w:multiLevelType w:val="hybridMultilevel"/>
    <w:tmpl w:val="4C8CF97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A202C54"/>
    <w:multiLevelType w:val="hybridMultilevel"/>
    <w:tmpl w:val="B798C956"/>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90992"/>
    <w:multiLevelType w:val="hybridMultilevel"/>
    <w:tmpl w:val="27DA48C6"/>
    <w:lvl w:ilvl="0" w:tplc="20000017">
      <w:start w:val="1"/>
      <w:numFmt w:val="lowerLetter"/>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AE2602"/>
    <w:multiLevelType w:val="hybridMultilevel"/>
    <w:tmpl w:val="36D29492"/>
    <w:lvl w:ilvl="0" w:tplc="1BD8A960">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004C0"/>
    <w:multiLevelType w:val="hybridMultilevel"/>
    <w:tmpl w:val="0BF0393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D71B63"/>
    <w:multiLevelType w:val="hybridMultilevel"/>
    <w:tmpl w:val="524A4EE4"/>
    <w:lvl w:ilvl="0" w:tplc="08130011">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56A4255F"/>
    <w:multiLevelType w:val="hybridMultilevel"/>
    <w:tmpl w:val="CC6A8F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AB3260"/>
    <w:multiLevelType w:val="hybridMultilevel"/>
    <w:tmpl w:val="15C4822C"/>
    <w:lvl w:ilvl="0" w:tplc="94445B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3"/>
  </w:num>
  <w:num w:numId="5">
    <w:abstractNumId w:val="4"/>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6A4"/>
    <w:rsid w:val="003E7392"/>
    <w:rsid w:val="004F3D1C"/>
    <w:rsid w:val="005E781A"/>
    <w:rsid w:val="0084381F"/>
    <w:rsid w:val="009A76A4"/>
    <w:rsid w:val="009D736D"/>
    <w:rsid w:val="00A87724"/>
    <w:rsid w:val="00B54BF3"/>
    <w:rsid w:val="00E574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B111"/>
  <w15:chartTrackingRefBased/>
  <w15:docId w15:val="{CBD6FC17-AC06-4F78-B638-C832C09E3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6A4"/>
    <w:pPr>
      <w:spacing w:after="200" w:line="276" w:lineRule="auto"/>
    </w:pPr>
    <w:rPr>
      <w:rFonts w:ascii="Calibri" w:eastAsia="Calibri" w:hAnsi="Calibri" w:cs="Times New Roman"/>
      <w:lang w:val="fr-BE"/>
    </w:rPr>
  </w:style>
  <w:style w:type="paragraph" w:styleId="Heading1">
    <w:name w:val="heading 1"/>
    <w:basedOn w:val="Normal"/>
    <w:next w:val="Normal"/>
    <w:link w:val="Heading1Char"/>
    <w:uiPriority w:val="9"/>
    <w:qFormat/>
    <w:rsid w:val="009A76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76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A76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A76A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6A4"/>
    <w:rPr>
      <w:rFonts w:asciiTheme="majorHAnsi" w:eastAsiaTheme="majorEastAsia" w:hAnsiTheme="majorHAnsi" w:cstheme="majorBidi"/>
      <w:color w:val="2F5496" w:themeColor="accent1" w:themeShade="BF"/>
      <w:sz w:val="32"/>
      <w:szCs w:val="32"/>
      <w:lang w:val="fr-BE"/>
    </w:rPr>
  </w:style>
  <w:style w:type="paragraph" w:styleId="ListParagraph">
    <w:name w:val="List Paragraph"/>
    <w:basedOn w:val="Normal"/>
    <w:uiPriority w:val="34"/>
    <w:qFormat/>
    <w:rsid w:val="009A76A4"/>
    <w:pPr>
      <w:ind w:left="720"/>
      <w:contextualSpacing/>
    </w:pPr>
  </w:style>
  <w:style w:type="table" w:styleId="TableGrid">
    <w:name w:val="Table Grid"/>
    <w:basedOn w:val="TableNormal"/>
    <w:uiPriority w:val="39"/>
    <w:rsid w:val="009A76A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A76A4"/>
    <w:rPr>
      <w:rFonts w:asciiTheme="majorHAnsi" w:eastAsiaTheme="majorEastAsia" w:hAnsiTheme="majorHAnsi" w:cstheme="majorBidi"/>
      <w:color w:val="2F5496" w:themeColor="accent1" w:themeShade="BF"/>
      <w:sz w:val="26"/>
      <w:szCs w:val="26"/>
      <w:lang w:val="fr-BE"/>
    </w:rPr>
  </w:style>
  <w:style w:type="character" w:customStyle="1" w:styleId="Heading3Char">
    <w:name w:val="Heading 3 Char"/>
    <w:basedOn w:val="DefaultParagraphFont"/>
    <w:link w:val="Heading3"/>
    <w:uiPriority w:val="9"/>
    <w:rsid w:val="009A76A4"/>
    <w:rPr>
      <w:rFonts w:asciiTheme="majorHAnsi" w:eastAsiaTheme="majorEastAsia" w:hAnsiTheme="majorHAnsi" w:cstheme="majorBidi"/>
      <w:color w:val="1F3763" w:themeColor="accent1" w:themeShade="7F"/>
      <w:sz w:val="24"/>
      <w:szCs w:val="24"/>
      <w:lang w:val="fr-BE"/>
    </w:rPr>
  </w:style>
  <w:style w:type="paragraph" w:styleId="Header">
    <w:name w:val="header"/>
    <w:basedOn w:val="Normal"/>
    <w:link w:val="HeaderChar"/>
    <w:uiPriority w:val="99"/>
    <w:unhideWhenUsed/>
    <w:rsid w:val="009A7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6A4"/>
    <w:rPr>
      <w:rFonts w:ascii="Calibri" w:eastAsia="Calibri" w:hAnsi="Calibri" w:cs="Times New Roman"/>
      <w:lang w:val="fr-BE"/>
    </w:rPr>
  </w:style>
  <w:style w:type="character" w:customStyle="1" w:styleId="Heading4Char">
    <w:name w:val="Heading 4 Char"/>
    <w:basedOn w:val="DefaultParagraphFont"/>
    <w:link w:val="Heading4"/>
    <w:uiPriority w:val="9"/>
    <w:rsid w:val="009A76A4"/>
    <w:rPr>
      <w:rFonts w:asciiTheme="majorHAnsi" w:eastAsiaTheme="majorEastAsia" w:hAnsiTheme="majorHAnsi" w:cstheme="majorBidi"/>
      <w:i/>
      <w:iCs/>
      <w:color w:val="2F5496" w:themeColor="accent1" w:themeShade="BF"/>
      <w:lang w:val="fr-BE"/>
    </w:rPr>
  </w:style>
  <w:style w:type="paragraph" w:styleId="Footer">
    <w:name w:val="footer"/>
    <w:basedOn w:val="Normal"/>
    <w:link w:val="FooterChar"/>
    <w:uiPriority w:val="99"/>
    <w:unhideWhenUsed/>
    <w:rsid w:val="009A7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6A4"/>
    <w:rPr>
      <w:rFonts w:ascii="Calibri" w:eastAsia="Calibri" w:hAnsi="Calibri" w:cs="Times New Roman"/>
      <w:lang w:val="fr-BE"/>
    </w:rPr>
  </w:style>
  <w:style w:type="paragraph" w:styleId="TOCHeading">
    <w:name w:val="TOC Heading"/>
    <w:basedOn w:val="Heading1"/>
    <w:next w:val="Normal"/>
    <w:uiPriority w:val="39"/>
    <w:unhideWhenUsed/>
    <w:qFormat/>
    <w:rsid w:val="004F3D1C"/>
    <w:pPr>
      <w:spacing w:line="259" w:lineRule="auto"/>
      <w:outlineLvl w:val="9"/>
    </w:pPr>
    <w:rPr>
      <w:lang w:val="en-US"/>
    </w:rPr>
  </w:style>
  <w:style w:type="paragraph" w:styleId="TOC1">
    <w:name w:val="toc 1"/>
    <w:basedOn w:val="Normal"/>
    <w:next w:val="Normal"/>
    <w:autoRedefine/>
    <w:uiPriority w:val="39"/>
    <w:unhideWhenUsed/>
    <w:rsid w:val="004F3D1C"/>
    <w:pPr>
      <w:spacing w:after="100"/>
    </w:pPr>
  </w:style>
  <w:style w:type="paragraph" w:styleId="TOC2">
    <w:name w:val="toc 2"/>
    <w:basedOn w:val="Normal"/>
    <w:next w:val="Normal"/>
    <w:autoRedefine/>
    <w:uiPriority w:val="39"/>
    <w:unhideWhenUsed/>
    <w:rsid w:val="004F3D1C"/>
    <w:pPr>
      <w:spacing w:after="100"/>
      <w:ind w:left="220"/>
    </w:pPr>
  </w:style>
  <w:style w:type="paragraph" w:styleId="TOC3">
    <w:name w:val="toc 3"/>
    <w:basedOn w:val="Normal"/>
    <w:next w:val="Normal"/>
    <w:autoRedefine/>
    <w:uiPriority w:val="39"/>
    <w:unhideWhenUsed/>
    <w:rsid w:val="004F3D1C"/>
    <w:pPr>
      <w:spacing w:after="100"/>
      <w:ind w:left="440"/>
    </w:pPr>
  </w:style>
  <w:style w:type="character" w:styleId="Hyperlink">
    <w:name w:val="Hyperlink"/>
    <w:basedOn w:val="DefaultParagraphFont"/>
    <w:uiPriority w:val="99"/>
    <w:unhideWhenUsed/>
    <w:rsid w:val="004F3D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22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5D583-32BA-400B-A1EB-60A9DAB77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14</Pages>
  <Words>2914</Words>
  <Characters>16032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Westig</dc:creator>
  <cp:keywords/>
  <dc:description/>
  <cp:lastModifiedBy>Daniele Westig</cp:lastModifiedBy>
  <cp:revision>4</cp:revision>
  <dcterms:created xsi:type="dcterms:W3CDTF">2020-12-02T10:27:00Z</dcterms:created>
  <dcterms:modified xsi:type="dcterms:W3CDTF">2020-12-02T11:56:00Z</dcterms:modified>
</cp:coreProperties>
</file>